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F1" w:rsidRDefault="00E229F1" w:rsidP="00E229F1">
      <w:pPr>
        <w:jc w:val="center"/>
        <w:rPr>
          <w:rFonts w:ascii="Garamond" w:hAnsi="Garamond"/>
          <w:smallCaps/>
        </w:rPr>
      </w:pPr>
      <w:r w:rsidRPr="00770522">
        <w:rPr>
          <w:rFonts w:ascii="Garamond" w:hAnsi="Garamond"/>
          <w:smallCaps/>
        </w:rPr>
        <w:t xml:space="preserve">Los orígenes históricos de las reglas sobre comunicabilidad de las circunstancias modificatorias del </w:t>
      </w:r>
      <w:r>
        <w:rPr>
          <w:rFonts w:ascii="Garamond" w:hAnsi="Garamond"/>
          <w:smallCaps/>
        </w:rPr>
        <w:t>C</w:t>
      </w:r>
      <w:r w:rsidRPr="00770522">
        <w:rPr>
          <w:rFonts w:ascii="Garamond" w:hAnsi="Garamond"/>
          <w:smallCaps/>
        </w:rPr>
        <w:t xml:space="preserve">ódigo </w:t>
      </w:r>
      <w:r>
        <w:rPr>
          <w:rFonts w:ascii="Garamond" w:hAnsi="Garamond"/>
          <w:smallCaps/>
        </w:rPr>
        <w:t>P</w:t>
      </w:r>
      <w:r w:rsidRPr="00770522">
        <w:rPr>
          <w:rFonts w:ascii="Garamond" w:hAnsi="Garamond"/>
          <w:smallCaps/>
        </w:rPr>
        <w:t xml:space="preserve">enal chileno: </w:t>
      </w:r>
    </w:p>
    <w:p w:rsidR="00E229F1" w:rsidRPr="00770522" w:rsidRDefault="00E229F1" w:rsidP="00E229F1">
      <w:pPr>
        <w:jc w:val="center"/>
        <w:rPr>
          <w:rFonts w:ascii="Garamond" w:hAnsi="Garamond"/>
          <w:smallCaps/>
        </w:rPr>
      </w:pPr>
      <w:r w:rsidRPr="00770522">
        <w:rPr>
          <w:rFonts w:ascii="Garamond" w:hAnsi="Garamond"/>
          <w:smallCaps/>
        </w:rPr>
        <w:t>antecedentes en la codificación napolitana y en el derecho romano</w:t>
      </w:r>
    </w:p>
    <w:p w:rsidR="00E229F1" w:rsidRPr="002C646E" w:rsidRDefault="00E229F1" w:rsidP="00E229F1">
      <w:pPr>
        <w:jc w:val="center"/>
        <w:rPr>
          <w:rFonts w:ascii="Garamond" w:hAnsi="Garamond"/>
        </w:rPr>
      </w:pPr>
    </w:p>
    <w:p w:rsidR="00E229F1" w:rsidRPr="002C646E" w:rsidRDefault="00E229F1" w:rsidP="00E229F1">
      <w:pPr>
        <w:jc w:val="center"/>
        <w:rPr>
          <w:rFonts w:ascii="Garamond" w:hAnsi="Garamond"/>
        </w:rPr>
      </w:pPr>
      <w:r w:rsidRPr="002C646E">
        <w:rPr>
          <w:rFonts w:ascii="Garamond" w:hAnsi="Garamond"/>
        </w:rPr>
        <w:t>José Luis Cortés Z.</w:t>
      </w:r>
    </w:p>
    <w:p w:rsidR="00E229F1" w:rsidRDefault="00E229F1" w:rsidP="00AC39E1">
      <w:pPr>
        <w:ind w:firstLine="142"/>
        <w:rPr>
          <w:rFonts w:ascii="Garamond" w:hAnsi="Garamond"/>
          <w:smallCaps/>
        </w:rPr>
      </w:pPr>
    </w:p>
    <w:p w:rsidR="00E229F1" w:rsidRPr="00324E37" w:rsidRDefault="00E229F1" w:rsidP="00E229F1">
      <w:pPr>
        <w:jc w:val="center"/>
        <w:rPr>
          <w:rFonts w:ascii="Garamond" w:hAnsi="Garamond"/>
          <w:smallCaps/>
        </w:rPr>
      </w:pPr>
      <w:r w:rsidRPr="00324E37">
        <w:rPr>
          <w:rFonts w:ascii="Garamond" w:hAnsi="Garamond"/>
          <w:smallCaps/>
        </w:rPr>
        <w:t>Resumen</w:t>
      </w:r>
    </w:p>
    <w:p w:rsidR="00E229F1" w:rsidRPr="00324E37" w:rsidRDefault="00DF108F" w:rsidP="00AC39E1">
      <w:pPr>
        <w:ind w:firstLine="142"/>
        <w:rPr>
          <w:rFonts w:ascii="Garamond" w:hAnsi="Garamond"/>
        </w:rPr>
      </w:pPr>
      <w:r>
        <w:rPr>
          <w:rFonts w:ascii="Garamond" w:hAnsi="Garamond"/>
        </w:rPr>
        <w:t>El</w:t>
      </w:r>
      <w:r w:rsidR="00E229F1">
        <w:rPr>
          <w:rFonts w:ascii="Garamond" w:hAnsi="Garamond"/>
        </w:rPr>
        <w:t xml:space="preserve"> artículo 64 del Código Penal chileno es </w:t>
      </w:r>
      <w:r>
        <w:rPr>
          <w:rFonts w:ascii="Garamond" w:hAnsi="Garamond"/>
        </w:rPr>
        <w:t xml:space="preserve">relevante como </w:t>
      </w:r>
      <w:r w:rsidR="00E229F1">
        <w:rPr>
          <w:rFonts w:ascii="Garamond" w:hAnsi="Garamond"/>
        </w:rPr>
        <w:t xml:space="preserve">la única disposición legal que establece reglas vinculadas con el problema de la comunicabilidad en la intervención delictiva y por su rol como modelo en los proyectos recientes de reforma integral. Su aplicación literal justifica </w:t>
      </w:r>
      <w:r>
        <w:rPr>
          <w:rFonts w:ascii="Garamond" w:hAnsi="Garamond"/>
        </w:rPr>
        <w:t>indagar acerca de</w:t>
      </w:r>
      <w:r w:rsidR="00E229F1">
        <w:rPr>
          <w:rFonts w:ascii="Garamond" w:hAnsi="Garamond"/>
        </w:rPr>
        <w:t xml:space="preserve"> sus antecedentes históricos, los que se pueden rastrear finalmente hasta el derecho romano, pasando por el modelo habitual de la codificación nacional (el Código español de 1848 reformado en 1850) y por la codificación napolitana de 1819. La evolución observada pone de manifiesto que el esfuerzo generalizador requirió de reglas que acojan tanto la incomunicabilidad como la comunicabilidad, para distintos supuestos, sin perjuicio de mostrar una vinculación con hipótesis que hoy reciben un tratamiento especial y separado. </w:t>
      </w:r>
    </w:p>
    <w:p w:rsidR="00E229F1" w:rsidRDefault="00E229F1" w:rsidP="00AC39E1">
      <w:pPr>
        <w:ind w:firstLine="142"/>
        <w:jc w:val="center"/>
        <w:rPr>
          <w:rFonts w:ascii="Garamond" w:hAnsi="Garamond"/>
          <w:smallCaps/>
        </w:rPr>
      </w:pPr>
    </w:p>
    <w:p w:rsidR="00E229F1" w:rsidRPr="00324E37" w:rsidRDefault="00E229F1" w:rsidP="00E229F1">
      <w:pPr>
        <w:jc w:val="center"/>
        <w:rPr>
          <w:rFonts w:ascii="Garamond" w:hAnsi="Garamond"/>
        </w:rPr>
      </w:pPr>
      <w:r w:rsidRPr="00324E37">
        <w:rPr>
          <w:rFonts w:ascii="Garamond" w:hAnsi="Garamond"/>
          <w:smallCaps/>
        </w:rPr>
        <w:t>Palabras clave</w:t>
      </w:r>
    </w:p>
    <w:p w:rsidR="00E229F1" w:rsidRPr="00324E37" w:rsidRDefault="00E229F1" w:rsidP="00AC39E1">
      <w:pPr>
        <w:ind w:firstLine="142"/>
        <w:rPr>
          <w:rFonts w:ascii="Garamond" w:hAnsi="Garamond"/>
        </w:rPr>
      </w:pPr>
      <w:r w:rsidRPr="00324E37">
        <w:rPr>
          <w:rFonts w:ascii="Garamond" w:hAnsi="Garamond"/>
        </w:rPr>
        <w:t>Comunicabilidad</w:t>
      </w:r>
      <w:r>
        <w:rPr>
          <w:rFonts w:ascii="Garamond" w:hAnsi="Garamond"/>
        </w:rPr>
        <w:t xml:space="preserve"> – circunstancias </w:t>
      </w:r>
      <w:r w:rsidRPr="00324E37">
        <w:rPr>
          <w:rFonts w:ascii="Garamond" w:hAnsi="Garamond"/>
        </w:rPr>
        <w:t>modificatorias</w:t>
      </w:r>
      <w:r>
        <w:rPr>
          <w:rFonts w:ascii="Garamond" w:hAnsi="Garamond"/>
        </w:rPr>
        <w:t xml:space="preserve"> – orígenes – </w:t>
      </w:r>
      <w:r w:rsidRPr="00324E37">
        <w:rPr>
          <w:rFonts w:ascii="Garamond" w:hAnsi="Garamond"/>
          <w:i/>
        </w:rPr>
        <w:t>furtum</w:t>
      </w:r>
      <w:r w:rsidRPr="00324E37">
        <w:rPr>
          <w:rFonts w:ascii="Garamond" w:hAnsi="Garamond"/>
        </w:rPr>
        <w:t xml:space="preserve">. </w:t>
      </w:r>
    </w:p>
    <w:p w:rsidR="00E229F1" w:rsidRPr="002C646E" w:rsidRDefault="00E229F1" w:rsidP="00AC39E1">
      <w:pPr>
        <w:ind w:firstLine="142"/>
        <w:rPr>
          <w:rFonts w:ascii="Garamond" w:hAnsi="Garamond"/>
        </w:rPr>
      </w:pPr>
    </w:p>
    <w:p w:rsidR="00E229F1" w:rsidRPr="0027618A" w:rsidRDefault="00E229F1" w:rsidP="00E229F1">
      <w:pPr>
        <w:pStyle w:val="Prrafodelista"/>
        <w:tabs>
          <w:tab w:val="left" w:pos="284"/>
        </w:tabs>
        <w:ind w:left="0"/>
        <w:jc w:val="center"/>
        <w:rPr>
          <w:rFonts w:ascii="Garamond" w:hAnsi="Garamond"/>
          <w:smallCaps/>
        </w:rPr>
      </w:pPr>
      <w:r w:rsidRPr="0027618A">
        <w:rPr>
          <w:rFonts w:ascii="Garamond" w:hAnsi="Garamond"/>
          <w:smallCaps/>
        </w:rPr>
        <w:t>Introducción</w:t>
      </w:r>
    </w:p>
    <w:p w:rsidR="00E229F1" w:rsidRPr="002C646E" w:rsidRDefault="00E229F1" w:rsidP="00AC39E1">
      <w:pPr>
        <w:ind w:firstLine="142"/>
        <w:rPr>
          <w:rFonts w:ascii="Garamond" w:hAnsi="Garamond"/>
        </w:rPr>
      </w:pPr>
    </w:p>
    <w:p w:rsidR="00E229F1" w:rsidRDefault="00E229F1" w:rsidP="00AC39E1">
      <w:pPr>
        <w:ind w:firstLine="142"/>
        <w:rPr>
          <w:rFonts w:ascii="Garamond" w:hAnsi="Garamond"/>
        </w:rPr>
      </w:pPr>
      <w:r>
        <w:rPr>
          <w:rFonts w:ascii="Garamond" w:hAnsi="Garamond"/>
        </w:rPr>
        <w:t>L</w:t>
      </w:r>
      <w:r w:rsidRPr="002C646E">
        <w:rPr>
          <w:rFonts w:ascii="Garamond" w:hAnsi="Garamond"/>
        </w:rPr>
        <w:t xml:space="preserve">a investigación histórica de una disposición del Código Penal chileno, en tiempos en que los impulsos de reforma integral han recobrado nuevos bríos, podría parecer un sinsentido: no pasaría de ser una revisión de antecedentes históricos de reglas amenazadas de muerte. Sin embargo, nada </w:t>
      </w:r>
      <w:r>
        <w:rPr>
          <w:rFonts w:ascii="Garamond" w:hAnsi="Garamond"/>
        </w:rPr>
        <w:t>se aleja más</w:t>
      </w:r>
      <w:r w:rsidRPr="002C646E">
        <w:rPr>
          <w:rFonts w:ascii="Garamond" w:hAnsi="Garamond"/>
        </w:rPr>
        <w:t xml:space="preserve"> de la realidad, pues difícilmente puede concebirse una oportunidad más propicia para la revisión de las fuentes históricas que los tiempos de reforma. Respecto del artículo 64 del Código Penal chileno, tal revisión es, si cabe, </w:t>
      </w:r>
      <w:proofErr w:type="spellStart"/>
      <w:r w:rsidRPr="002C646E">
        <w:rPr>
          <w:rFonts w:ascii="Garamond" w:hAnsi="Garamond"/>
        </w:rPr>
        <w:t>a</w:t>
      </w:r>
      <w:r>
        <w:rPr>
          <w:rFonts w:ascii="Garamond" w:hAnsi="Garamond"/>
        </w:rPr>
        <w:t>u</w:t>
      </w:r>
      <w:r w:rsidRPr="002C646E">
        <w:rPr>
          <w:rFonts w:ascii="Garamond" w:hAnsi="Garamond"/>
        </w:rPr>
        <w:t>n</w:t>
      </w:r>
      <w:proofErr w:type="spellEnd"/>
      <w:r w:rsidRPr="002C646E">
        <w:rPr>
          <w:rFonts w:ascii="Garamond" w:hAnsi="Garamond"/>
        </w:rPr>
        <w:t xml:space="preserve"> más necesaria, si se considera que, en la actual etapa de la (hasta ahora) fallida </w:t>
      </w:r>
      <w:r>
        <w:rPr>
          <w:rFonts w:ascii="Garamond" w:hAnsi="Garamond"/>
        </w:rPr>
        <w:t>re</w:t>
      </w:r>
      <w:r w:rsidRPr="002C646E">
        <w:rPr>
          <w:rFonts w:ascii="Garamond" w:hAnsi="Garamond"/>
        </w:rPr>
        <w:t>codificación penal chilena,</w:t>
      </w:r>
      <w:r w:rsidRPr="002C646E">
        <w:rPr>
          <w:rStyle w:val="Refdenotaalpie"/>
          <w:rFonts w:ascii="Garamond" w:hAnsi="Garamond"/>
        </w:rPr>
        <w:footnoteReference w:id="1"/>
      </w:r>
      <w:r w:rsidRPr="002C646E">
        <w:rPr>
          <w:rFonts w:ascii="Garamond" w:hAnsi="Garamond"/>
        </w:rPr>
        <w:t xml:space="preserve"> todas las propuestas legislativas que han visto la luz reconocen significativa influencia de la disposición que atrae nuestra atención. </w:t>
      </w:r>
    </w:p>
    <w:p w:rsidR="00E229F1" w:rsidRPr="002C646E" w:rsidRDefault="00E229F1" w:rsidP="00AC39E1">
      <w:pPr>
        <w:ind w:firstLine="142"/>
        <w:rPr>
          <w:rFonts w:ascii="Garamond" w:hAnsi="Garamond"/>
        </w:rPr>
      </w:pPr>
      <w:r w:rsidRPr="002C646E">
        <w:rPr>
          <w:rFonts w:ascii="Garamond" w:hAnsi="Garamond"/>
        </w:rPr>
        <w:t xml:space="preserve">Antes de volver </w:t>
      </w:r>
      <w:r>
        <w:rPr>
          <w:rFonts w:ascii="Garamond" w:hAnsi="Garamond"/>
        </w:rPr>
        <w:t>a ello</w:t>
      </w:r>
      <w:r w:rsidRPr="002C646E">
        <w:rPr>
          <w:rFonts w:ascii="Garamond" w:hAnsi="Garamond"/>
        </w:rPr>
        <w:t>, es preciso recordar que la disposición estudiada regula la comunicabilidad de las circunstancias modificatorias de responsabilidad penal, distinguiendo aquellas que la doctrina denomina “personales” o “subjetivas”, que sólo producen efecto respecto de quienes concurren, y aquellas “objetivas”, “reales” o “materiales”, cuyo efecto se extenderá también a otros sujetos, siempre que obren con conocimiento coetáneo o anterior al hecho.</w:t>
      </w:r>
      <w:r w:rsidRPr="002C646E">
        <w:rPr>
          <w:rStyle w:val="Refdenotaalpie"/>
          <w:rFonts w:ascii="Garamond" w:hAnsi="Garamond"/>
        </w:rPr>
        <w:footnoteReference w:id="2"/>
      </w:r>
      <w:r w:rsidRPr="002C646E">
        <w:rPr>
          <w:rFonts w:ascii="Garamond" w:hAnsi="Garamond"/>
        </w:rPr>
        <w:t xml:space="preserve"> Su objeto propio es, por ende, el alcance subjetivo del efecto de las circunstancias modificatorias de responsabilidad penal en hipótesis de codelincuencia.</w:t>
      </w:r>
      <w:bookmarkStart w:id="0" w:name="_Ref7352016"/>
      <w:r w:rsidRPr="002C646E">
        <w:rPr>
          <w:rStyle w:val="Refdenotaalpie"/>
          <w:rFonts w:ascii="Garamond" w:hAnsi="Garamond"/>
        </w:rPr>
        <w:footnoteReference w:id="3"/>
      </w:r>
      <w:bookmarkEnd w:id="0"/>
      <w:r w:rsidRPr="002C646E">
        <w:rPr>
          <w:rFonts w:ascii="Garamond" w:hAnsi="Garamond"/>
        </w:rPr>
        <w:t xml:space="preserve"> Sin embargo, la </w:t>
      </w:r>
      <w:r w:rsidRPr="002C646E">
        <w:rPr>
          <w:rFonts w:ascii="Garamond" w:hAnsi="Garamond"/>
        </w:rPr>
        <w:lastRenderedPageBreak/>
        <w:t>literatura nacional, durante años, ha expandido su alcance, encontrando en ella bases para resolver el problema de la comunicabilidad de los elementos típicos de carácter personal,</w:t>
      </w:r>
      <w:bookmarkStart w:id="2" w:name="_Ref7357429"/>
      <w:r w:rsidRPr="002C646E">
        <w:rPr>
          <w:rStyle w:val="Refdenotaalpie"/>
          <w:rFonts w:ascii="Garamond" w:hAnsi="Garamond"/>
        </w:rPr>
        <w:footnoteReference w:id="4"/>
      </w:r>
      <w:bookmarkEnd w:id="2"/>
      <w:r w:rsidRPr="002C646E">
        <w:rPr>
          <w:rFonts w:ascii="Garamond" w:hAnsi="Garamond"/>
        </w:rPr>
        <w:t xml:space="preserve"> aunque esta extensión ha encontrado resistencia en el último tiempo.</w:t>
      </w:r>
      <w:bookmarkStart w:id="3" w:name="_Ref7358752"/>
      <w:r w:rsidRPr="002C646E">
        <w:rPr>
          <w:rStyle w:val="Refdenotaalpie"/>
          <w:rFonts w:ascii="Garamond" w:hAnsi="Garamond"/>
        </w:rPr>
        <w:footnoteReference w:id="5"/>
      </w:r>
      <w:bookmarkEnd w:id="3"/>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A parte de esta polémica, el contenido de la disposición, en relación con su objeto natural, ha permanecido –hasta donde nos alcanza– exento de mayores críticas.</w:t>
      </w:r>
      <w:bookmarkStart w:id="4" w:name="_Ref522287059"/>
      <w:r w:rsidRPr="002C646E">
        <w:rPr>
          <w:rStyle w:val="Refdenotaalpie"/>
          <w:rFonts w:ascii="Garamond" w:hAnsi="Garamond"/>
        </w:rPr>
        <w:footnoteReference w:id="6"/>
      </w:r>
      <w:bookmarkEnd w:id="4"/>
      <w:r w:rsidRPr="002C646E">
        <w:rPr>
          <w:rFonts w:ascii="Garamond" w:hAnsi="Garamond"/>
        </w:rPr>
        <w:t xml:space="preserve"> Antes bien, se ha tendido a hacer de ella una aplicación de carácter primordialmente literal, lo que se manifiesta en una </w:t>
      </w:r>
      <w:proofErr w:type="gramStart"/>
      <w:r w:rsidRPr="002C646E">
        <w:rPr>
          <w:rFonts w:ascii="Garamond" w:hAnsi="Garamond"/>
        </w:rPr>
        <w:lastRenderedPageBreak/>
        <w:t>escasa</w:t>
      </w:r>
      <w:proofErr w:type="gramEnd"/>
      <w:r w:rsidRPr="002C646E">
        <w:rPr>
          <w:rFonts w:ascii="Garamond" w:hAnsi="Garamond"/>
        </w:rPr>
        <w:t xml:space="preserve"> delimitación conceptual de los distintos criterios legales</w:t>
      </w:r>
      <w:bookmarkStart w:id="5" w:name="_Ref521685703"/>
      <w:r w:rsidRPr="002C646E">
        <w:rPr>
          <w:rStyle w:val="Refdenotaalpie"/>
          <w:rFonts w:ascii="Garamond" w:hAnsi="Garamond"/>
        </w:rPr>
        <w:footnoteReference w:id="7"/>
      </w:r>
      <w:bookmarkEnd w:id="5"/>
      <w:r w:rsidRPr="002C646E">
        <w:rPr>
          <w:rFonts w:ascii="Garamond" w:hAnsi="Garamond"/>
        </w:rPr>
        <w:t xml:space="preserve"> y en un tratamiento orientado a la clasificación o encasillamiento de las circunstancias modificatorias.</w:t>
      </w:r>
      <w:r w:rsidRPr="002C646E">
        <w:rPr>
          <w:rStyle w:val="Refdenotaalpie"/>
          <w:rFonts w:ascii="Garamond" w:hAnsi="Garamond"/>
        </w:rPr>
        <w:footnoteReference w:id="8"/>
      </w:r>
      <w:r w:rsidRPr="002C646E">
        <w:rPr>
          <w:rFonts w:ascii="Garamond" w:hAnsi="Garamond"/>
        </w:rPr>
        <w:t xml:space="preserve"> En este contexto, no queda claro –o no se explicita al menos– cuáles serían las cualidades subyacentes a los criterios legales que, en su caso, fundamentarían u obstarían a la comunicabilidad del efecto atenuante o exasperante de la responsabilidad penal.</w:t>
      </w:r>
      <w:bookmarkStart w:id="6" w:name="_Ref522520409"/>
      <w:r w:rsidRPr="002C646E">
        <w:rPr>
          <w:rStyle w:val="Refdenotaalpie"/>
          <w:rFonts w:ascii="Garamond" w:hAnsi="Garamond"/>
        </w:rPr>
        <w:footnoteReference w:id="9"/>
      </w:r>
      <w:bookmarkEnd w:id="6"/>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 xml:space="preserve">Sin la guía de un concepto </w:t>
      </w:r>
      <w:r>
        <w:rPr>
          <w:rFonts w:ascii="Garamond" w:hAnsi="Garamond"/>
        </w:rPr>
        <w:t>ni</w:t>
      </w:r>
      <w:r w:rsidRPr="002C646E">
        <w:rPr>
          <w:rFonts w:ascii="Garamond" w:hAnsi="Garamond"/>
        </w:rPr>
        <w:t xml:space="preserve"> de fundamentos materiales, los criterios legales se cubren de un manto de vaguedad e imprecisión, en desmedro de la certeza jurídica.</w:t>
      </w:r>
      <w:r w:rsidRPr="002C646E">
        <w:rPr>
          <w:rStyle w:val="Refdenotaalpie"/>
          <w:rFonts w:ascii="Garamond" w:hAnsi="Garamond"/>
        </w:rPr>
        <w:footnoteReference w:id="10"/>
      </w:r>
      <w:r w:rsidRPr="002C646E">
        <w:rPr>
          <w:rFonts w:ascii="Garamond" w:hAnsi="Garamond"/>
        </w:rPr>
        <w:t xml:space="preserve"> Con ello, su capacidad para ofrecer soluciones correctas queda también en entredicho, por la dificultad derivada </w:t>
      </w:r>
      <w:r>
        <w:rPr>
          <w:rFonts w:ascii="Garamond" w:hAnsi="Garamond"/>
        </w:rPr>
        <w:t>de</w:t>
      </w:r>
      <w:r w:rsidRPr="002C646E">
        <w:rPr>
          <w:rFonts w:ascii="Garamond" w:hAnsi="Garamond"/>
        </w:rPr>
        <w:t xml:space="preserve"> enjuiciar la razonabilidad de los criterios, de sus fundamentos y de los resultados a los que conducen.</w:t>
      </w:r>
      <w:r w:rsidRPr="002C646E">
        <w:rPr>
          <w:rStyle w:val="Refdenotaalpie"/>
          <w:rFonts w:ascii="Garamond" w:hAnsi="Garamond"/>
        </w:rPr>
        <w:footnoteReference w:id="11"/>
      </w:r>
      <w:r w:rsidRPr="002C646E">
        <w:rPr>
          <w:rFonts w:ascii="Garamond" w:hAnsi="Garamond"/>
        </w:rPr>
        <w:t xml:space="preserve"> </w:t>
      </w:r>
      <w:r>
        <w:rPr>
          <w:rFonts w:ascii="Garamond" w:hAnsi="Garamond"/>
        </w:rPr>
        <w:t xml:space="preserve">Entorpecida la crítica racional, se </w:t>
      </w:r>
      <w:r w:rsidRPr="002C646E">
        <w:rPr>
          <w:rFonts w:ascii="Garamond" w:hAnsi="Garamond"/>
        </w:rPr>
        <w:t>agudiza el riesgo siempre latente de ofrecer –ya por exceso, ya por defecto– soluciones inadecuadas. Con todo, el peligro es más acotado respecto de los presupuestos de la incomunicabilidad, como resultado de que los dos primeros criterios del inciso 1º del artículo 64 (disposición moral y relaciones particulares con el ofendido) se consideren ejemplos.</w:t>
      </w:r>
      <w:r w:rsidRPr="002C646E">
        <w:rPr>
          <w:rStyle w:val="Refdenotaalpie"/>
          <w:rFonts w:ascii="Garamond" w:hAnsi="Garamond"/>
        </w:rPr>
        <w:footnoteReference w:id="12"/>
      </w:r>
      <w:r w:rsidRPr="002C646E">
        <w:rPr>
          <w:rFonts w:ascii="Garamond" w:hAnsi="Garamond"/>
        </w:rPr>
        <w:t xml:space="preserve"> De esta forma, se diluye el riesgo de cubrir menos hipótesis de las que racional y funcionalmente debieran escapar al efecto expansivo de la comunicabilidad (riesgo de defecto), ya que las que no </w:t>
      </w:r>
      <w:r>
        <w:rPr>
          <w:rFonts w:ascii="Garamond" w:hAnsi="Garamond"/>
        </w:rPr>
        <w:t>queden comprendidas</w:t>
      </w:r>
      <w:r w:rsidRPr="002C646E">
        <w:rPr>
          <w:rFonts w:ascii="Garamond" w:hAnsi="Garamond"/>
        </w:rPr>
        <w:t xml:space="preserve"> en los criterios ejemplares </w:t>
      </w:r>
      <w:r>
        <w:rPr>
          <w:rFonts w:ascii="Garamond" w:hAnsi="Garamond"/>
        </w:rPr>
        <w:t xml:space="preserve">serán alcanzadas por el </w:t>
      </w:r>
      <w:r w:rsidRPr="002C646E">
        <w:rPr>
          <w:rFonts w:ascii="Garamond" w:hAnsi="Garamond"/>
        </w:rPr>
        <w:t>concepto genérico de “causa personal”.</w:t>
      </w:r>
      <w:r w:rsidRPr="002C646E">
        <w:rPr>
          <w:rStyle w:val="Refdenotaalpie"/>
          <w:rFonts w:ascii="Garamond" w:hAnsi="Garamond"/>
        </w:rPr>
        <w:footnoteReference w:id="13"/>
      </w:r>
      <w:r w:rsidRPr="002C646E">
        <w:rPr>
          <w:rFonts w:ascii="Garamond" w:hAnsi="Garamond"/>
        </w:rPr>
        <w:t xml:space="preserve"> Sin embargo, el carácter ejemplar derivado de la consagración de una cláusula de vocación amplia no </w:t>
      </w:r>
      <w:r>
        <w:rPr>
          <w:rFonts w:ascii="Garamond" w:hAnsi="Garamond"/>
        </w:rPr>
        <w:t>conjura</w:t>
      </w:r>
      <w:r w:rsidRPr="002C646E">
        <w:rPr>
          <w:rFonts w:ascii="Garamond" w:hAnsi="Garamond"/>
        </w:rPr>
        <w:t xml:space="preserve"> </w:t>
      </w:r>
      <w:r>
        <w:rPr>
          <w:rFonts w:ascii="Garamond" w:hAnsi="Garamond"/>
        </w:rPr>
        <w:t>e</w:t>
      </w:r>
      <w:r w:rsidRPr="002C646E">
        <w:rPr>
          <w:rFonts w:ascii="Garamond" w:hAnsi="Garamond"/>
        </w:rPr>
        <w:t>l riesgo de exceso, es decir, no es capaz de impedir la aplicación de la incomunicabilidad a casos en que la circunstancia sí debiese hacerse extensiva a terceros.</w:t>
      </w:r>
      <w:r w:rsidRPr="002C646E">
        <w:rPr>
          <w:rStyle w:val="Refdenotaalpie"/>
          <w:rFonts w:ascii="Garamond" w:hAnsi="Garamond"/>
        </w:rPr>
        <w:footnoteReference w:id="14"/>
      </w:r>
      <w:r w:rsidRPr="002C646E">
        <w:rPr>
          <w:rFonts w:ascii="Garamond" w:hAnsi="Garamond"/>
        </w:rPr>
        <w:t xml:space="preserve"> De paso, la configuración de los criterios legales a los que se les </w:t>
      </w:r>
      <w:r w:rsidRPr="002C646E">
        <w:rPr>
          <w:rFonts w:ascii="Garamond" w:hAnsi="Garamond"/>
        </w:rPr>
        <w:lastRenderedPageBreak/>
        <w:t>arregla el efecto incomunicante deja en evidencia que las circunstancias materiales –para las cuales no se contempla una cláusula de recogida– están expuestas a ofrecer soluciones incorrectas en ambas dimensiones.</w:t>
      </w:r>
    </w:p>
    <w:p w:rsidR="00E229F1" w:rsidRPr="002C646E" w:rsidRDefault="00E229F1" w:rsidP="00AC39E1">
      <w:pPr>
        <w:ind w:firstLine="142"/>
        <w:rPr>
          <w:rFonts w:ascii="Garamond" w:hAnsi="Garamond"/>
        </w:rPr>
      </w:pPr>
      <w:r w:rsidRPr="002C646E">
        <w:rPr>
          <w:rFonts w:ascii="Garamond" w:hAnsi="Garamond"/>
        </w:rPr>
        <w:t>El alcance de estos aspectos problemáticos se proyecta como consecuencia del influjo que, como anticipábamos, el artículo 64 ha ejercido sobre los proyectos encaminados a reemplazar al Código Penal vigente. Esta influencia no sólo se advierte en que todos ellos contengan reglas sobre la comunicabilidad de las circunstancias modificatorias,</w:t>
      </w:r>
      <w:r w:rsidRPr="002C646E">
        <w:rPr>
          <w:rStyle w:val="Refdenotaalpie"/>
          <w:rFonts w:ascii="Garamond" w:hAnsi="Garamond"/>
        </w:rPr>
        <w:footnoteReference w:id="15"/>
      </w:r>
      <w:r w:rsidRPr="002C646E">
        <w:rPr>
          <w:rFonts w:ascii="Garamond" w:hAnsi="Garamond"/>
        </w:rPr>
        <w:t xml:space="preserve"> sino, además, en el contenido de dichas reglas, las que –en mayor o menor medida– presentan grados significativos de coincidencia con aquellas actualmente en vigor, particularmente en relación con las circunstancias materiales. En efecto, los criterios empleados por los textos </w:t>
      </w:r>
      <w:proofErr w:type="spellStart"/>
      <w:r w:rsidRPr="002C646E">
        <w:rPr>
          <w:rFonts w:ascii="Garamond" w:hAnsi="Garamond"/>
        </w:rPr>
        <w:t>prelegislativos</w:t>
      </w:r>
      <w:proofErr w:type="spellEnd"/>
      <w:r w:rsidRPr="002C646E">
        <w:rPr>
          <w:rFonts w:ascii="Garamond" w:hAnsi="Garamond"/>
        </w:rPr>
        <w:t xml:space="preserve"> para definir las circunstancias personales (incomunicables) incluyen conceptos próximos a la “</w:t>
      </w:r>
      <w:r w:rsidRPr="00787975">
        <w:rPr>
          <w:rFonts w:ascii="Garamond" w:hAnsi="Garamond"/>
          <w:i/>
        </w:rPr>
        <w:t>disposición moral del delincuente</w:t>
      </w:r>
      <w:r w:rsidRPr="002C646E">
        <w:rPr>
          <w:rFonts w:ascii="Garamond" w:hAnsi="Garamond"/>
        </w:rPr>
        <w:t>”,</w:t>
      </w:r>
      <w:r w:rsidRPr="002C646E">
        <w:rPr>
          <w:rStyle w:val="Refdenotaalpie"/>
          <w:rFonts w:ascii="Garamond" w:hAnsi="Garamond"/>
        </w:rPr>
        <w:footnoteReference w:id="16"/>
      </w:r>
      <w:r w:rsidRPr="002C646E">
        <w:rPr>
          <w:rFonts w:ascii="Garamond" w:hAnsi="Garamond"/>
        </w:rPr>
        <w:t xml:space="preserve"> las “</w:t>
      </w:r>
      <w:r w:rsidRPr="00787975">
        <w:rPr>
          <w:rFonts w:ascii="Garamond" w:hAnsi="Garamond"/>
          <w:i/>
        </w:rPr>
        <w:t>relaciones particulares con el ofendido</w:t>
      </w:r>
      <w:r w:rsidRPr="002C646E">
        <w:rPr>
          <w:rFonts w:ascii="Garamond" w:hAnsi="Garamond"/>
        </w:rPr>
        <w:t>”</w:t>
      </w:r>
      <w:r w:rsidRPr="002C646E">
        <w:rPr>
          <w:rStyle w:val="Refdenotaalpie"/>
          <w:rFonts w:ascii="Garamond" w:hAnsi="Garamond"/>
        </w:rPr>
        <w:footnoteReference w:id="17"/>
      </w:r>
      <w:r w:rsidRPr="002C646E">
        <w:rPr>
          <w:rFonts w:ascii="Garamond" w:hAnsi="Garamond"/>
        </w:rPr>
        <w:t xml:space="preserve"> y “</w:t>
      </w:r>
      <w:r w:rsidRPr="00787975">
        <w:rPr>
          <w:rFonts w:ascii="Garamond" w:hAnsi="Garamond"/>
          <w:i/>
        </w:rPr>
        <w:t>otra causa personal</w:t>
      </w:r>
      <w:r w:rsidRPr="002C646E">
        <w:rPr>
          <w:rFonts w:ascii="Garamond" w:hAnsi="Garamond"/>
        </w:rPr>
        <w:t>”.</w:t>
      </w:r>
      <w:r w:rsidRPr="002C646E">
        <w:rPr>
          <w:rStyle w:val="Refdenotaalpie"/>
          <w:rFonts w:ascii="Garamond" w:hAnsi="Garamond"/>
        </w:rPr>
        <w:footnoteReference w:id="18"/>
      </w:r>
      <w:r w:rsidRPr="002C646E">
        <w:rPr>
          <w:rFonts w:ascii="Garamond" w:hAnsi="Garamond"/>
        </w:rPr>
        <w:t xml:space="preserve"> Por su parte, es posible encontrar criterios que, definiendo las circunstancias materiales (comunicables), se acercan a las ideas de “</w:t>
      </w:r>
      <w:r w:rsidRPr="00787975">
        <w:rPr>
          <w:rFonts w:ascii="Garamond" w:hAnsi="Garamond"/>
          <w:i/>
        </w:rPr>
        <w:t>ejecución material del hecho</w:t>
      </w:r>
      <w:r w:rsidRPr="002C646E">
        <w:rPr>
          <w:rFonts w:ascii="Garamond" w:hAnsi="Garamond"/>
        </w:rPr>
        <w:t>”</w:t>
      </w:r>
      <w:r w:rsidRPr="002C646E">
        <w:rPr>
          <w:rStyle w:val="Refdenotaalpie"/>
          <w:rFonts w:ascii="Garamond" w:hAnsi="Garamond"/>
        </w:rPr>
        <w:footnoteReference w:id="19"/>
      </w:r>
      <w:r w:rsidRPr="002C646E">
        <w:rPr>
          <w:rFonts w:ascii="Garamond" w:hAnsi="Garamond"/>
        </w:rPr>
        <w:t xml:space="preserve"> y de “</w:t>
      </w:r>
      <w:r w:rsidRPr="00787975">
        <w:rPr>
          <w:rFonts w:ascii="Garamond" w:hAnsi="Garamond"/>
          <w:i/>
        </w:rPr>
        <w:t>medio empleados para ejecutarlo</w:t>
      </w:r>
      <w:r w:rsidRPr="002C646E">
        <w:rPr>
          <w:rFonts w:ascii="Garamond" w:hAnsi="Garamond"/>
        </w:rPr>
        <w:t>”.</w:t>
      </w:r>
      <w:r w:rsidRPr="002C646E">
        <w:rPr>
          <w:rStyle w:val="Refdenotaalpie"/>
          <w:rFonts w:ascii="Garamond" w:hAnsi="Garamond"/>
        </w:rPr>
        <w:footnoteReference w:id="20"/>
      </w:r>
      <w:r w:rsidRPr="002C646E">
        <w:rPr>
          <w:rFonts w:ascii="Garamond" w:hAnsi="Garamond"/>
        </w:rPr>
        <w:t xml:space="preserve"> </w:t>
      </w:r>
      <w:r>
        <w:rPr>
          <w:rFonts w:ascii="Garamond" w:hAnsi="Garamond"/>
        </w:rPr>
        <w:t xml:space="preserve">Esta </w:t>
      </w:r>
      <w:r w:rsidRPr="002C646E">
        <w:rPr>
          <w:rFonts w:ascii="Garamond" w:hAnsi="Garamond"/>
        </w:rPr>
        <w:t xml:space="preserve">continuidad conduce a la conclusión de que los antecedentes históricos del artículo 64 del Código Penal debieran ser de provecho, no sólo para la hermenéutica de la ley vigente, sino también como base del debate académico, político y legislativo que </w:t>
      </w:r>
      <w:r>
        <w:rPr>
          <w:rFonts w:ascii="Garamond" w:hAnsi="Garamond"/>
        </w:rPr>
        <w:t xml:space="preserve">debiera </w:t>
      </w:r>
      <w:r w:rsidRPr="002C646E">
        <w:rPr>
          <w:rFonts w:ascii="Garamond" w:hAnsi="Garamond"/>
        </w:rPr>
        <w:t>avecina</w:t>
      </w:r>
      <w:r>
        <w:rPr>
          <w:rFonts w:ascii="Garamond" w:hAnsi="Garamond"/>
        </w:rPr>
        <w:t>rse</w:t>
      </w:r>
      <w:r w:rsidRPr="002C646E">
        <w:rPr>
          <w:rFonts w:ascii="Garamond" w:hAnsi="Garamond"/>
        </w:rPr>
        <w:t xml:space="preserve">. Sin embargo, el origen de las reglas, </w:t>
      </w:r>
      <w:r>
        <w:rPr>
          <w:rFonts w:ascii="Garamond" w:hAnsi="Garamond"/>
        </w:rPr>
        <w:t>a pesar de</w:t>
      </w:r>
      <w:r w:rsidRPr="002C646E">
        <w:rPr>
          <w:rFonts w:ascii="Garamond" w:hAnsi="Garamond"/>
        </w:rPr>
        <w:t xml:space="preserve"> su importancia, pareciera no haber recibido suficiente atención en la literatura.</w:t>
      </w:r>
      <w:bookmarkStart w:id="7" w:name="_Ref523501459"/>
      <w:r w:rsidRPr="002C646E">
        <w:rPr>
          <w:rStyle w:val="Refdenotaalpie"/>
          <w:rFonts w:ascii="Garamond" w:hAnsi="Garamond"/>
        </w:rPr>
        <w:footnoteReference w:id="21"/>
      </w:r>
      <w:bookmarkEnd w:id="7"/>
      <w:r w:rsidRPr="002C646E">
        <w:rPr>
          <w:rFonts w:ascii="Garamond" w:hAnsi="Garamond"/>
        </w:rPr>
        <w:t xml:space="preserve"> </w:t>
      </w:r>
    </w:p>
    <w:p w:rsidR="00E229F1" w:rsidRPr="002C646E" w:rsidRDefault="00E229F1" w:rsidP="00AC39E1">
      <w:pPr>
        <w:ind w:firstLine="142"/>
        <w:rPr>
          <w:rFonts w:ascii="Garamond" w:hAnsi="Garamond"/>
        </w:rPr>
      </w:pPr>
      <w:r>
        <w:rPr>
          <w:rFonts w:ascii="Garamond" w:hAnsi="Garamond"/>
        </w:rPr>
        <w:lastRenderedPageBreak/>
        <w:t>E</w:t>
      </w:r>
      <w:r w:rsidRPr="002C646E">
        <w:rPr>
          <w:rFonts w:ascii="Garamond" w:hAnsi="Garamond"/>
        </w:rPr>
        <w:t xml:space="preserve">n este trabajo intentaremos demostrar que los orígenes del artículo 64 del Código Penal chileno pueden rastrearse hasta </w:t>
      </w:r>
      <w:r>
        <w:rPr>
          <w:rFonts w:ascii="Garamond" w:hAnsi="Garamond"/>
        </w:rPr>
        <w:t>fuentes r</w:t>
      </w:r>
      <w:r w:rsidRPr="002C646E">
        <w:rPr>
          <w:rFonts w:ascii="Garamond" w:hAnsi="Garamond"/>
        </w:rPr>
        <w:t>oman</w:t>
      </w:r>
      <w:r>
        <w:rPr>
          <w:rFonts w:ascii="Garamond" w:hAnsi="Garamond"/>
        </w:rPr>
        <w:t>as</w:t>
      </w:r>
      <w:r w:rsidRPr="002C646E">
        <w:rPr>
          <w:rFonts w:ascii="Garamond" w:hAnsi="Garamond"/>
        </w:rPr>
        <w:t xml:space="preserve">, </w:t>
      </w:r>
      <w:r>
        <w:rPr>
          <w:rFonts w:ascii="Garamond" w:hAnsi="Garamond"/>
        </w:rPr>
        <w:t xml:space="preserve">las cuales </w:t>
      </w:r>
      <w:r w:rsidRPr="002C646E">
        <w:rPr>
          <w:rFonts w:ascii="Garamond" w:hAnsi="Garamond"/>
        </w:rPr>
        <w:t>exhibían un ámbito de aplicación acotado</w:t>
      </w:r>
      <w:r>
        <w:rPr>
          <w:rFonts w:ascii="Garamond" w:hAnsi="Garamond"/>
        </w:rPr>
        <w:t xml:space="preserve"> y sin gozar de la </w:t>
      </w:r>
      <w:r w:rsidRPr="006D6F7D">
        <w:rPr>
          <w:rFonts w:ascii="Garamond" w:hAnsi="Garamond"/>
        </w:rPr>
        <w:t>amplitud con que se las recibió en el Código napolitano de 1819</w:t>
      </w:r>
      <w:r>
        <w:rPr>
          <w:rFonts w:ascii="Garamond" w:hAnsi="Garamond"/>
        </w:rPr>
        <w:t xml:space="preserve">, </w:t>
      </w:r>
      <w:r w:rsidRPr="002C646E">
        <w:rPr>
          <w:rFonts w:ascii="Garamond" w:hAnsi="Garamond"/>
        </w:rPr>
        <w:t>por medio del cual fue</w:t>
      </w:r>
      <w:r>
        <w:rPr>
          <w:rFonts w:ascii="Garamond" w:hAnsi="Garamond"/>
        </w:rPr>
        <w:t>ron</w:t>
      </w:r>
      <w:r w:rsidRPr="002C646E">
        <w:rPr>
          <w:rFonts w:ascii="Garamond" w:hAnsi="Garamond"/>
        </w:rPr>
        <w:t xml:space="preserve"> acogida</w:t>
      </w:r>
      <w:r>
        <w:rPr>
          <w:rFonts w:ascii="Garamond" w:hAnsi="Garamond"/>
        </w:rPr>
        <w:t>s</w:t>
      </w:r>
      <w:r w:rsidRPr="002C646E">
        <w:rPr>
          <w:rFonts w:ascii="Garamond" w:hAnsi="Garamond"/>
        </w:rPr>
        <w:t xml:space="preserve"> en el ordenamiento español, primero, y </w:t>
      </w:r>
      <w:r>
        <w:rPr>
          <w:rFonts w:ascii="Garamond" w:hAnsi="Garamond"/>
        </w:rPr>
        <w:t xml:space="preserve">en el </w:t>
      </w:r>
      <w:r w:rsidRPr="002C646E">
        <w:rPr>
          <w:rFonts w:ascii="Garamond" w:hAnsi="Garamond"/>
        </w:rPr>
        <w:t>chileno, después</w:t>
      </w:r>
      <w:r>
        <w:rPr>
          <w:rFonts w:ascii="Garamond" w:hAnsi="Garamond"/>
        </w:rPr>
        <w:t>. De modo coherente con las soluciones en el derecho romano, el proceso de generalización supuso</w:t>
      </w:r>
      <w:r w:rsidRPr="006D6F7D">
        <w:rPr>
          <w:rFonts w:ascii="Garamond" w:hAnsi="Garamond"/>
        </w:rPr>
        <w:t xml:space="preserve"> </w:t>
      </w:r>
      <w:r>
        <w:rPr>
          <w:rFonts w:ascii="Garamond" w:hAnsi="Garamond"/>
        </w:rPr>
        <w:t xml:space="preserve">establecer reglas que previeran tanto la incomunicabilidad como la comunicabilidad de las circunstancias, para supuestos que, como en el caso de las fuentes romanas, eran muy próximos. </w:t>
      </w:r>
      <w:r w:rsidRPr="002C646E">
        <w:rPr>
          <w:rFonts w:ascii="Garamond" w:hAnsi="Garamond"/>
        </w:rPr>
        <w:t>Para ello, parece insoslayable la revisión panorámica de las fuentes del Código Penal chileno, como paso previo para dirigir la atención</w:t>
      </w:r>
      <w:r>
        <w:rPr>
          <w:rFonts w:ascii="Garamond" w:hAnsi="Garamond"/>
        </w:rPr>
        <w:t xml:space="preserve"> hacia</w:t>
      </w:r>
      <w:r w:rsidRPr="002C646E">
        <w:rPr>
          <w:rFonts w:ascii="Garamond" w:hAnsi="Garamond"/>
        </w:rPr>
        <w:t xml:space="preserve"> aquellas que contribuyeron a dar fisonomía al artículo 64 del Código Penal. Revisado, con este propósito, el contenido de la legislación napolitana y de los antecedentes romanos, estaremos en condiciones ofrecer algunas conclusiones. </w:t>
      </w:r>
    </w:p>
    <w:p w:rsidR="00E229F1" w:rsidRPr="002C646E" w:rsidRDefault="00E229F1" w:rsidP="00AC39E1">
      <w:pPr>
        <w:ind w:firstLine="142"/>
        <w:rPr>
          <w:rFonts w:ascii="Garamond" w:hAnsi="Garamond"/>
        </w:rPr>
      </w:pPr>
    </w:p>
    <w:p w:rsidR="00E229F1" w:rsidRPr="0027618A" w:rsidRDefault="00E229F1" w:rsidP="00E229F1">
      <w:pPr>
        <w:pStyle w:val="Prrafodelista"/>
        <w:tabs>
          <w:tab w:val="left" w:pos="284"/>
        </w:tabs>
        <w:ind w:left="0"/>
        <w:jc w:val="center"/>
        <w:rPr>
          <w:rFonts w:ascii="Garamond" w:hAnsi="Garamond"/>
          <w:smallCaps/>
        </w:rPr>
      </w:pPr>
      <w:r>
        <w:rPr>
          <w:rFonts w:ascii="Garamond" w:hAnsi="Garamond"/>
          <w:smallCaps/>
        </w:rPr>
        <w:t>I.</w:t>
      </w:r>
      <w:r>
        <w:rPr>
          <w:rFonts w:ascii="Garamond" w:hAnsi="Garamond"/>
          <w:smallCaps/>
        </w:rPr>
        <w:tab/>
        <w:t>Las f</w:t>
      </w:r>
      <w:r w:rsidRPr="0027618A">
        <w:rPr>
          <w:rFonts w:ascii="Garamond" w:hAnsi="Garamond"/>
          <w:smallCaps/>
        </w:rPr>
        <w:t xml:space="preserve">uentes del </w:t>
      </w:r>
      <w:r>
        <w:rPr>
          <w:rFonts w:ascii="Garamond" w:hAnsi="Garamond"/>
          <w:smallCaps/>
        </w:rPr>
        <w:t>C</w:t>
      </w:r>
      <w:r w:rsidRPr="0027618A">
        <w:rPr>
          <w:rFonts w:ascii="Garamond" w:hAnsi="Garamond"/>
          <w:smallCaps/>
        </w:rPr>
        <w:t xml:space="preserve">ódigo </w:t>
      </w:r>
      <w:r>
        <w:rPr>
          <w:rFonts w:ascii="Garamond" w:hAnsi="Garamond"/>
          <w:smallCaps/>
        </w:rPr>
        <w:t>P</w:t>
      </w:r>
      <w:r w:rsidRPr="0027618A">
        <w:rPr>
          <w:rFonts w:ascii="Garamond" w:hAnsi="Garamond"/>
          <w:smallCaps/>
        </w:rPr>
        <w:t>enal chileno de 1874</w:t>
      </w:r>
    </w:p>
    <w:p w:rsidR="00E229F1" w:rsidRPr="002C646E" w:rsidRDefault="00E229F1" w:rsidP="00AC39E1">
      <w:pPr>
        <w:ind w:firstLine="142"/>
        <w:rPr>
          <w:rFonts w:ascii="Garamond" w:hAnsi="Garamond"/>
        </w:rPr>
      </w:pPr>
    </w:p>
    <w:p w:rsidR="00E229F1" w:rsidRPr="002C646E" w:rsidRDefault="00E229F1" w:rsidP="00AC39E1">
      <w:pPr>
        <w:ind w:firstLine="142"/>
        <w:rPr>
          <w:rFonts w:ascii="Garamond" w:hAnsi="Garamond"/>
        </w:rPr>
      </w:pPr>
      <w:r w:rsidRPr="002C646E">
        <w:rPr>
          <w:rFonts w:ascii="Garamond" w:hAnsi="Garamond"/>
        </w:rPr>
        <w:t xml:space="preserve">Aunque los vínculos entre el </w:t>
      </w:r>
      <w:r>
        <w:rPr>
          <w:rFonts w:ascii="Garamond" w:hAnsi="Garamond"/>
        </w:rPr>
        <w:t>d</w:t>
      </w:r>
      <w:r w:rsidRPr="002C646E">
        <w:rPr>
          <w:rFonts w:ascii="Garamond" w:hAnsi="Garamond"/>
        </w:rPr>
        <w:t xml:space="preserve">erecho </w:t>
      </w:r>
      <w:r>
        <w:rPr>
          <w:rFonts w:ascii="Garamond" w:hAnsi="Garamond"/>
        </w:rPr>
        <w:t>p</w:t>
      </w:r>
      <w:r w:rsidRPr="002C646E">
        <w:rPr>
          <w:rFonts w:ascii="Garamond" w:hAnsi="Garamond"/>
        </w:rPr>
        <w:t xml:space="preserve">enal chileno y el español no comenzaron </w:t>
      </w:r>
      <w:r>
        <w:rPr>
          <w:rFonts w:ascii="Garamond" w:hAnsi="Garamond"/>
        </w:rPr>
        <w:t xml:space="preserve">ni se agotan con </w:t>
      </w:r>
      <w:r w:rsidRPr="002C646E">
        <w:rPr>
          <w:rFonts w:ascii="Garamond" w:hAnsi="Garamond"/>
        </w:rPr>
        <w:t>la codificación,</w:t>
      </w:r>
      <w:bookmarkStart w:id="8" w:name="_Ref7364627"/>
      <w:r w:rsidRPr="002C646E">
        <w:rPr>
          <w:rStyle w:val="Refdenotaalpie"/>
          <w:rFonts w:ascii="Garamond" w:hAnsi="Garamond"/>
        </w:rPr>
        <w:footnoteReference w:id="22"/>
      </w:r>
      <w:bookmarkEnd w:id="8"/>
      <w:r w:rsidRPr="002C646E">
        <w:rPr>
          <w:rFonts w:ascii="Garamond" w:hAnsi="Garamond"/>
        </w:rPr>
        <w:t xml:space="preserve"> ciertamente </w:t>
      </w:r>
      <w:r>
        <w:rPr>
          <w:rFonts w:ascii="Garamond" w:hAnsi="Garamond"/>
        </w:rPr>
        <w:t>ella</w:t>
      </w:r>
      <w:r w:rsidRPr="002C646E">
        <w:rPr>
          <w:rFonts w:ascii="Garamond" w:hAnsi="Garamond"/>
        </w:rPr>
        <w:t xml:space="preserve"> ocupa un lugar señalado en esa historia. En este capítulo, el rol protagónico pertenece al Código Penal español de 1848, “no sólo porque su influencia sea especialmente notoria, como unánimemente ha sido reconocida, sino porque además, en la elaboración del texto chileno jugó un papel decisivo la doctrina penal española a través de los comentarios de Pacheco.”</w:t>
      </w:r>
      <w:r w:rsidRPr="002C646E">
        <w:rPr>
          <w:rStyle w:val="Refdenotaalpie"/>
          <w:rFonts w:ascii="Garamond" w:hAnsi="Garamond"/>
        </w:rPr>
        <w:footnoteReference w:id="23"/>
      </w:r>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Luego de la independencia, nuestro país, como en el resto de las nacientes naciones hispanoamericanas, continuó dando aplicación a “la legislación de la antigua metrópoli.”</w:t>
      </w:r>
      <w:bookmarkStart w:id="9" w:name="_Ref7365948"/>
      <w:r w:rsidRPr="002C646E">
        <w:rPr>
          <w:rStyle w:val="Refdenotaalpie"/>
          <w:rFonts w:ascii="Garamond" w:hAnsi="Garamond"/>
        </w:rPr>
        <w:footnoteReference w:id="24"/>
      </w:r>
      <w:bookmarkEnd w:id="9"/>
      <w:r w:rsidRPr="002C646E">
        <w:rPr>
          <w:rFonts w:ascii="Garamond" w:hAnsi="Garamond"/>
        </w:rPr>
        <w:t xml:space="preserve"> </w:t>
      </w:r>
      <w:r>
        <w:rPr>
          <w:rFonts w:ascii="Garamond" w:hAnsi="Garamond"/>
        </w:rPr>
        <w:t>Separándose de la tendencia de iniciar el programa codificador por el derecho penal, el proceso chileno comenzó por el Código Civil seguido por el Código de Comercio.</w:t>
      </w:r>
      <w:r w:rsidRPr="002C646E">
        <w:rPr>
          <w:rStyle w:val="Refdenotaalpie"/>
          <w:rFonts w:ascii="Garamond" w:hAnsi="Garamond"/>
        </w:rPr>
        <w:footnoteReference w:id="25"/>
      </w:r>
      <w:r>
        <w:rPr>
          <w:rFonts w:ascii="Garamond" w:hAnsi="Garamond"/>
        </w:rPr>
        <w:t xml:space="preserve"> Sin embargo,</w:t>
      </w:r>
      <w:r w:rsidRPr="002C646E">
        <w:rPr>
          <w:rFonts w:ascii="Garamond" w:hAnsi="Garamond"/>
        </w:rPr>
        <w:t xml:space="preserve"> </w:t>
      </w:r>
      <w:r>
        <w:rPr>
          <w:rFonts w:ascii="Garamond" w:hAnsi="Garamond"/>
        </w:rPr>
        <w:t>muy tempranamente empezaron a aparecer leyes patrias de alcance penal que preferían a la legislación indiana.</w:t>
      </w:r>
      <w:r w:rsidRPr="002C646E">
        <w:rPr>
          <w:rStyle w:val="Refdenotaalpie"/>
          <w:rFonts w:ascii="Garamond" w:hAnsi="Garamond"/>
        </w:rPr>
        <w:footnoteReference w:id="26"/>
      </w:r>
    </w:p>
    <w:p w:rsidR="00E229F1" w:rsidRPr="002C646E" w:rsidRDefault="00E229F1" w:rsidP="00AC39E1">
      <w:pPr>
        <w:ind w:firstLine="142"/>
        <w:rPr>
          <w:rFonts w:ascii="Garamond" w:hAnsi="Garamond"/>
        </w:rPr>
      </w:pPr>
      <w:r>
        <w:rPr>
          <w:rFonts w:ascii="Garamond" w:hAnsi="Garamond"/>
        </w:rPr>
        <w:lastRenderedPageBreak/>
        <w:t>Antecedido por intentos fallidos que comenzaron en</w:t>
      </w:r>
      <w:r w:rsidRPr="002C646E">
        <w:rPr>
          <w:rFonts w:ascii="Garamond" w:hAnsi="Garamond"/>
        </w:rPr>
        <w:t xml:space="preserve"> 1823,</w:t>
      </w:r>
      <w:r w:rsidRPr="002C646E">
        <w:rPr>
          <w:rStyle w:val="Refdenotaalpie"/>
          <w:rFonts w:ascii="Garamond" w:hAnsi="Garamond"/>
        </w:rPr>
        <w:footnoteReference w:id="27"/>
      </w:r>
      <w:r w:rsidRPr="002C646E">
        <w:rPr>
          <w:rFonts w:ascii="Garamond" w:hAnsi="Garamond"/>
        </w:rPr>
        <w:t xml:space="preserve"> el proceso que concluiría con la promulgación del Código Penal vigente se inició</w:t>
      </w:r>
      <w:r>
        <w:rPr>
          <w:rFonts w:ascii="Garamond" w:hAnsi="Garamond"/>
        </w:rPr>
        <w:t xml:space="preserve"> con la constitución </w:t>
      </w:r>
      <w:r w:rsidR="009055D8">
        <w:rPr>
          <w:rFonts w:ascii="Garamond" w:hAnsi="Garamond"/>
        </w:rPr>
        <w:t>en</w:t>
      </w:r>
      <w:r>
        <w:rPr>
          <w:rFonts w:ascii="Garamond" w:hAnsi="Garamond"/>
        </w:rPr>
        <w:t xml:space="preserve"> 1870 de una comisión</w:t>
      </w:r>
      <w:r w:rsidR="009055D8">
        <w:rPr>
          <w:rFonts w:ascii="Garamond" w:hAnsi="Garamond"/>
        </w:rPr>
        <w:t xml:space="preserve"> con el </w:t>
      </w:r>
      <w:r>
        <w:rPr>
          <w:rFonts w:ascii="Garamond" w:hAnsi="Garamond"/>
        </w:rPr>
        <w:t>encarg</w:t>
      </w:r>
      <w:r w:rsidR="009055D8">
        <w:rPr>
          <w:rFonts w:ascii="Garamond" w:hAnsi="Garamond"/>
        </w:rPr>
        <w:t>o de</w:t>
      </w:r>
      <w:r>
        <w:rPr>
          <w:rFonts w:ascii="Garamond" w:hAnsi="Garamond"/>
        </w:rPr>
        <w:t xml:space="preserve"> redactar </w:t>
      </w:r>
      <w:r w:rsidRPr="002C646E">
        <w:rPr>
          <w:rFonts w:ascii="Garamond" w:hAnsi="Garamond"/>
        </w:rPr>
        <w:t>“un proyecto de Código penal, para lo que debía tomar como base el Código belga.”</w:t>
      </w:r>
      <w:r w:rsidRPr="002C646E">
        <w:rPr>
          <w:rStyle w:val="Refdenotaalpie"/>
          <w:rFonts w:ascii="Garamond" w:hAnsi="Garamond"/>
        </w:rPr>
        <w:footnoteReference w:id="28"/>
      </w:r>
      <w:r w:rsidRPr="002C646E">
        <w:rPr>
          <w:rFonts w:ascii="Garamond" w:hAnsi="Garamond"/>
        </w:rPr>
        <w:t xml:space="preserve"> </w:t>
      </w:r>
      <w:r>
        <w:rPr>
          <w:rFonts w:ascii="Garamond" w:hAnsi="Garamond"/>
        </w:rPr>
        <w:t xml:space="preserve">La Comisión Redactora celebró </w:t>
      </w:r>
      <w:r w:rsidRPr="002C646E">
        <w:rPr>
          <w:rFonts w:ascii="Garamond" w:hAnsi="Garamond"/>
        </w:rPr>
        <w:t xml:space="preserve">174 </w:t>
      </w:r>
      <w:r>
        <w:rPr>
          <w:rFonts w:ascii="Garamond" w:hAnsi="Garamond"/>
        </w:rPr>
        <w:t>sesiones entre el 8 de marzo del mismo año y el 22 de octubre de 1873.</w:t>
      </w:r>
      <w:r w:rsidRPr="002C646E">
        <w:rPr>
          <w:rStyle w:val="Refdenotaalpie"/>
          <w:rFonts w:ascii="Garamond" w:hAnsi="Garamond"/>
        </w:rPr>
        <w:footnoteReference w:id="29"/>
      </w:r>
      <w:r>
        <w:rPr>
          <w:rFonts w:ascii="Garamond" w:hAnsi="Garamond"/>
        </w:rPr>
        <w:t xml:space="preserve"> </w:t>
      </w:r>
      <w:r w:rsidR="009055D8">
        <w:rPr>
          <w:rFonts w:ascii="Garamond" w:hAnsi="Garamond"/>
        </w:rPr>
        <w:t>Algunos días después, el Gobierno remitió al Senado el proyecto, a</w:t>
      </w:r>
      <w:r>
        <w:rPr>
          <w:rFonts w:ascii="Garamond" w:hAnsi="Garamond"/>
        </w:rPr>
        <w:t xml:space="preserve">compañado de un </w:t>
      </w:r>
      <w:r w:rsidRPr="002C646E">
        <w:rPr>
          <w:rFonts w:ascii="Garamond" w:hAnsi="Garamond"/>
        </w:rPr>
        <w:t>mensaje preparado por el comisionado Rengifo.</w:t>
      </w:r>
      <w:r w:rsidRPr="002C646E">
        <w:rPr>
          <w:rStyle w:val="Refdenotaalpie"/>
          <w:rFonts w:ascii="Garamond" w:hAnsi="Garamond"/>
        </w:rPr>
        <w:footnoteReference w:id="30"/>
      </w:r>
      <w:r w:rsidRPr="002C646E">
        <w:rPr>
          <w:rFonts w:ascii="Garamond" w:hAnsi="Garamond"/>
        </w:rPr>
        <w:t xml:space="preserve"> En la tramitación parlamentaria, “tanto el senado, como la Cámara de Diputados, apartándose de la antigua práctica de aprobar por completo los códigos sin entrar en discusiones particulares, creyeron que esta vez era preciso no aceptar alguna de las disposiciones contenidas en dicho proyecto.”</w:t>
      </w:r>
      <w:r w:rsidRPr="002C646E">
        <w:rPr>
          <w:rStyle w:val="Refdenotaalpie"/>
          <w:rFonts w:ascii="Garamond" w:hAnsi="Garamond"/>
        </w:rPr>
        <w:footnoteReference w:id="31"/>
      </w:r>
      <w:r w:rsidRPr="002C646E">
        <w:rPr>
          <w:rFonts w:ascii="Garamond" w:hAnsi="Garamond"/>
        </w:rPr>
        <w:t xml:space="preserve"> En el curso del intenso debate, “[l]as preocupaciones religiosas de la época y las controversias a que esto daba lugar apasionaron los ánimos y explican ‘que la mayor parte de las discusiones se centrar</w:t>
      </w:r>
      <w:r>
        <w:rPr>
          <w:rFonts w:ascii="Garamond" w:hAnsi="Garamond"/>
        </w:rPr>
        <w:t>an</w:t>
      </w:r>
      <w:r w:rsidRPr="002C646E">
        <w:rPr>
          <w:rFonts w:ascii="Garamond" w:hAnsi="Garamond"/>
        </w:rPr>
        <w:t xml:space="preserve"> alrededor de las facultades de las autoridades eclesiásticas frente al poder civil y de la preeminencia que éste reclamaba para sí’.”</w:t>
      </w:r>
      <w:r w:rsidRPr="002C646E">
        <w:rPr>
          <w:rStyle w:val="Refdenotaalpie"/>
          <w:rFonts w:ascii="Garamond" w:hAnsi="Garamond"/>
        </w:rPr>
        <w:footnoteReference w:id="32"/>
      </w:r>
      <w:r w:rsidRPr="002C646E">
        <w:rPr>
          <w:rFonts w:ascii="Garamond" w:hAnsi="Garamond"/>
        </w:rPr>
        <w:t xml:space="preserve"> El 12 noviembre de 1874 se dictó el decreto promulgatorio, entrando a regir el 1 de enero del año siguiente. </w:t>
      </w:r>
    </w:p>
    <w:p w:rsidR="00E229F1" w:rsidRPr="002C646E" w:rsidRDefault="00E229F1" w:rsidP="00AC39E1">
      <w:pPr>
        <w:pStyle w:val="Prrafodelista"/>
        <w:ind w:left="0" w:firstLine="142"/>
        <w:rPr>
          <w:rFonts w:ascii="Garamond" w:hAnsi="Garamond"/>
        </w:rPr>
      </w:pPr>
      <w:r>
        <w:rPr>
          <w:rFonts w:ascii="Garamond" w:hAnsi="Garamond"/>
        </w:rPr>
        <w:t>La intención del Gobierno de recurrir como base a la codificación belga</w:t>
      </w:r>
      <w:r w:rsidRPr="002C646E">
        <w:rPr>
          <w:rStyle w:val="Refdenotaalpie"/>
          <w:rFonts w:ascii="Garamond" w:hAnsi="Garamond"/>
        </w:rPr>
        <w:footnoteReference w:id="33"/>
      </w:r>
      <w:r>
        <w:rPr>
          <w:rFonts w:ascii="Garamond" w:hAnsi="Garamond"/>
        </w:rPr>
        <w:t xml:space="preserve"> </w:t>
      </w:r>
      <w:r w:rsidRPr="002C646E">
        <w:rPr>
          <w:rFonts w:ascii="Garamond" w:hAnsi="Garamond"/>
        </w:rPr>
        <w:t>encontró la oposición de los comisionados, quienes mostraron</w:t>
      </w:r>
      <w:r>
        <w:rPr>
          <w:rFonts w:ascii="Garamond" w:hAnsi="Garamond"/>
        </w:rPr>
        <w:t xml:space="preserve"> su discrepancia,</w:t>
      </w:r>
      <w:r w:rsidRPr="002C646E">
        <w:rPr>
          <w:rFonts w:ascii="Garamond" w:hAnsi="Garamond"/>
        </w:rPr>
        <w:t xml:space="preserve"> </w:t>
      </w:r>
      <w:r>
        <w:rPr>
          <w:rFonts w:ascii="Garamond" w:hAnsi="Garamond"/>
        </w:rPr>
        <w:t>desde la sesión preparatoria, favoreciendo el Código español.</w:t>
      </w:r>
      <w:r w:rsidRPr="002C646E">
        <w:rPr>
          <w:rStyle w:val="Refdenotaalpie"/>
          <w:rFonts w:ascii="Garamond" w:hAnsi="Garamond"/>
        </w:rPr>
        <w:footnoteReference w:id="34"/>
      </w:r>
      <w:r>
        <w:rPr>
          <w:rFonts w:ascii="Garamond" w:hAnsi="Garamond"/>
        </w:rPr>
        <w:t xml:space="preserve"> </w:t>
      </w:r>
      <w:r w:rsidRPr="002C646E">
        <w:rPr>
          <w:rFonts w:ascii="Garamond" w:hAnsi="Garamond"/>
        </w:rPr>
        <w:t xml:space="preserve">En </w:t>
      </w:r>
      <w:r w:rsidR="006E4F51">
        <w:rPr>
          <w:rFonts w:ascii="Garamond" w:hAnsi="Garamond"/>
        </w:rPr>
        <w:t xml:space="preserve">su </w:t>
      </w:r>
      <w:r w:rsidRPr="002C646E">
        <w:rPr>
          <w:rFonts w:ascii="Garamond" w:hAnsi="Garamond"/>
        </w:rPr>
        <w:t xml:space="preserve">favor, </w:t>
      </w:r>
      <w:r w:rsidR="006E4F51">
        <w:rPr>
          <w:rFonts w:ascii="Garamond" w:hAnsi="Garamond"/>
        </w:rPr>
        <w:t>se</w:t>
      </w:r>
      <w:r w:rsidRPr="002C646E">
        <w:rPr>
          <w:rFonts w:ascii="Garamond" w:hAnsi="Garamond"/>
        </w:rPr>
        <w:t xml:space="preserve"> argumentó, “por un lado, que las costumbres chilenas guardaban más relación con las del pueblo español que las del belga; por otro, que el Código español era más completo que el belga, y, en fin, que aquél contaba con ‘un comentador como el señor Pacheco, cuyos estudios se hallaban concordados a la vez con las disposiciones de seis códigos distintos, que servían inmensamente para ilustrar la materia’.”</w:t>
      </w:r>
      <w:r w:rsidRPr="002C646E">
        <w:rPr>
          <w:rStyle w:val="Refdenotaalpie"/>
          <w:rFonts w:ascii="Garamond" w:hAnsi="Garamond"/>
        </w:rPr>
        <w:footnoteReference w:id="35"/>
      </w:r>
      <w:r w:rsidRPr="002C646E">
        <w:rPr>
          <w:rFonts w:ascii="Garamond" w:hAnsi="Garamond"/>
        </w:rPr>
        <w:t xml:space="preserve"> La decisión finalmente adoptada “merece la opinión favorable de los penalistas, ya que el Código penal español, pese a su fecha, era muy superior al belga por su orientación doctrinal y técnica; no en vano el </w:t>
      </w:r>
      <w:r w:rsidRPr="002C646E">
        <w:rPr>
          <w:rFonts w:ascii="Garamond" w:hAnsi="Garamond"/>
          <w:i/>
        </w:rPr>
        <w:t>Código</w:t>
      </w:r>
      <w:r w:rsidRPr="002C646E">
        <w:rPr>
          <w:rFonts w:ascii="Garamond" w:hAnsi="Garamond"/>
        </w:rPr>
        <w:t xml:space="preserve"> belga era una revisión del francés, y a pesar de su fecha resultaba menos evolucionado y más antiguo que el español.”</w:t>
      </w:r>
      <w:bookmarkStart w:id="10" w:name="_Ref10120184"/>
      <w:r w:rsidRPr="002C646E">
        <w:rPr>
          <w:rStyle w:val="Refdenotaalpie"/>
          <w:rFonts w:ascii="Garamond" w:hAnsi="Garamond"/>
        </w:rPr>
        <w:footnoteReference w:id="36"/>
      </w:r>
      <w:bookmarkEnd w:id="10"/>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 xml:space="preserve">El principal antecedente de la legislación chilena será, de esta manera, la codificación española, al punto que “mucho más que un orden de discusión o un punto de partida para los debates, el </w:t>
      </w:r>
      <w:r w:rsidRPr="002C646E">
        <w:rPr>
          <w:rFonts w:ascii="Garamond" w:hAnsi="Garamond"/>
          <w:i/>
        </w:rPr>
        <w:t>Código</w:t>
      </w:r>
      <w:r w:rsidRPr="002C646E">
        <w:rPr>
          <w:rFonts w:ascii="Garamond" w:hAnsi="Garamond"/>
        </w:rPr>
        <w:t xml:space="preserve"> de 1848 fue en realidad un modelo que el Proyecto Chileno siguió tan de cerca que, en definitiva, resultó un código muy semejante y, en muchas partes, hasta idéntico, pues mantuvo </w:t>
      </w:r>
      <w:r w:rsidRPr="002C646E">
        <w:rPr>
          <w:rFonts w:ascii="Garamond" w:hAnsi="Garamond"/>
        </w:rPr>
        <w:lastRenderedPageBreak/>
        <w:t>la misma redacción, salvo leves modificaciones.”</w:t>
      </w:r>
      <w:r w:rsidRPr="002C646E">
        <w:rPr>
          <w:rStyle w:val="Refdenotaalpie"/>
          <w:rFonts w:ascii="Garamond" w:hAnsi="Garamond"/>
        </w:rPr>
        <w:footnoteReference w:id="37"/>
      </w:r>
      <w:r w:rsidRPr="002C646E">
        <w:rPr>
          <w:rFonts w:ascii="Garamond" w:hAnsi="Garamond"/>
        </w:rPr>
        <w:t xml:space="preserve"> Aunque existe discrepancia de opiniones, Rivacoba deduce de las Actas “que los comisionados trabajaban sobre el Código de 1850, pero teniendo a la vista y tomando en consideración la redacción original de 1848.”</w:t>
      </w:r>
      <w:r w:rsidRPr="002C646E">
        <w:rPr>
          <w:rStyle w:val="Refdenotaalpie"/>
          <w:rFonts w:ascii="Garamond" w:hAnsi="Garamond"/>
        </w:rPr>
        <w:footnoteReference w:id="38"/>
      </w:r>
      <w:r w:rsidRPr="002C646E">
        <w:rPr>
          <w:rFonts w:ascii="Garamond" w:hAnsi="Garamond"/>
        </w:rPr>
        <w:t xml:space="preserve"> </w:t>
      </w:r>
      <w:r>
        <w:rPr>
          <w:rFonts w:ascii="Garamond" w:hAnsi="Garamond"/>
        </w:rPr>
        <w:t>El texto legislativo español</w:t>
      </w:r>
      <w:r w:rsidRPr="002C646E">
        <w:rPr>
          <w:rFonts w:ascii="Garamond" w:hAnsi="Garamond"/>
        </w:rPr>
        <w:t xml:space="preserve"> fue acompañado, en su influencia en la redacción del Código nacional, por “la obra de </w:t>
      </w:r>
      <w:r w:rsidRPr="002C646E">
        <w:rPr>
          <w:rFonts w:ascii="Garamond" w:hAnsi="Garamond"/>
          <w:smallCaps/>
        </w:rPr>
        <w:t>pacheco</w:t>
      </w:r>
      <w:r w:rsidRPr="002C646E">
        <w:rPr>
          <w:rFonts w:ascii="Garamond" w:hAnsi="Garamond"/>
        </w:rPr>
        <w:t xml:space="preserve">, </w:t>
      </w:r>
      <w:r w:rsidRPr="002C646E">
        <w:rPr>
          <w:rFonts w:ascii="Garamond" w:hAnsi="Garamond"/>
          <w:i/>
        </w:rPr>
        <w:t>El Código Penal</w:t>
      </w:r>
      <w:r w:rsidRPr="002C646E">
        <w:rPr>
          <w:rFonts w:ascii="Garamond" w:hAnsi="Garamond"/>
        </w:rPr>
        <w:t xml:space="preserve"> </w:t>
      </w:r>
      <w:r w:rsidRPr="002C646E">
        <w:rPr>
          <w:rFonts w:ascii="Garamond" w:hAnsi="Garamond"/>
          <w:i/>
        </w:rPr>
        <w:t>concordado y comentado</w:t>
      </w:r>
      <w:r w:rsidRPr="002C646E">
        <w:rPr>
          <w:rFonts w:ascii="Garamond" w:hAnsi="Garamond"/>
        </w:rPr>
        <w:t>, en la cual se comentaban las disposiciones y además se concordaban con las de otros códigos (especialmente el francés, el austriaco, el de las Dos Sicilias y el brasileño) y se señalan los precedentes legislativos de las diversas disposiciones.”</w:t>
      </w:r>
      <w:bookmarkStart w:id="11" w:name="_Ref7368044"/>
      <w:r w:rsidRPr="002C646E">
        <w:rPr>
          <w:rStyle w:val="Refdenotaalpie"/>
          <w:rFonts w:ascii="Garamond" w:hAnsi="Garamond"/>
        </w:rPr>
        <w:footnoteReference w:id="39"/>
      </w:r>
      <w:bookmarkEnd w:id="11"/>
      <w:r w:rsidRPr="002C646E">
        <w:rPr>
          <w:rFonts w:ascii="Garamond" w:hAnsi="Garamond"/>
        </w:rPr>
        <w:t xml:space="preserve"> A tal punto fueron relevante</w:t>
      </w:r>
      <w:r>
        <w:rPr>
          <w:rFonts w:ascii="Garamond" w:hAnsi="Garamond"/>
        </w:rPr>
        <w:t>s</w:t>
      </w:r>
      <w:r w:rsidRPr="002C646E">
        <w:rPr>
          <w:rFonts w:ascii="Garamond" w:hAnsi="Garamond"/>
        </w:rPr>
        <w:t xml:space="preserve"> </w:t>
      </w:r>
      <w:r>
        <w:rPr>
          <w:rFonts w:ascii="Garamond" w:hAnsi="Garamond"/>
        </w:rPr>
        <w:t>sus</w:t>
      </w:r>
      <w:r w:rsidRPr="002C646E">
        <w:rPr>
          <w:rFonts w:ascii="Garamond" w:hAnsi="Garamond"/>
        </w:rPr>
        <w:t xml:space="preserve"> comentarios</w:t>
      </w:r>
      <w:r w:rsidR="000A4447">
        <w:rPr>
          <w:rFonts w:ascii="Garamond" w:hAnsi="Garamond"/>
        </w:rPr>
        <w:t xml:space="preserve"> </w:t>
      </w:r>
      <w:r w:rsidRPr="002C646E">
        <w:rPr>
          <w:rFonts w:ascii="Garamond" w:hAnsi="Garamond"/>
        </w:rPr>
        <w:t xml:space="preserve">que “en general las innovaciones introducidas reflejan la influencia de las críticas de </w:t>
      </w:r>
      <w:r w:rsidRPr="002C646E">
        <w:rPr>
          <w:rFonts w:ascii="Garamond" w:hAnsi="Garamond"/>
          <w:smallCaps/>
        </w:rPr>
        <w:t>pacheco</w:t>
      </w:r>
      <w:r w:rsidRPr="002C646E">
        <w:rPr>
          <w:rFonts w:ascii="Garamond" w:hAnsi="Garamond"/>
        </w:rPr>
        <w:t>.”</w:t>
      </w:r>
      <w:bookmarkStart w:id="12" w:name="_Ref10120362"/>
      <w:r w:rsidRPr="002C646E">
        <w:rPr>
          <w:rStyle w:val="Refdenotaalpie"/>
          <w:rFonts w:ascii="Garamond" w:hAnsi="Garamond"/>
        </w:rPr>
        <w:footnoteReference w:id="40"/>
      </w:r>
      <w:bookmarkEnd w:id="12"/>
      <w:r w:rsidRPr="002C646E">
        <w:rPr>
          <w:rFonts w:ascii="Garamond" w:hAnsi="Garamond"/>
        </w:rPr>
        <w:t xml:space="preserve"> </w:t>
      </w:r>
    </w:p>
    <w:p w:rsidR="00E229F1" w:rsidRPr="002C646E" w:rsidRDefault="00E229F1" w:rsidP="00AC39E1">
      <w:pPr>
        <w:ind w:firstLine="142"/>
        <w:rPr>
          <w:rFonts w:ascii="Garamond" w:hAnsi="Garamond"/>
        </w:rPr>
      </w:pPr>
      <w:r>
        <w:rPr>
          <w:rFonts w:ascii="Garamond" w:hAnsi="Garamond"/>
        </w:rPr>
        <w:t>E</w:t>
      </w:r>
      <w:r w:rsidRPr="002C646E">
        <w:rPr>
          <w:rFonts w:ascii="Garamond" w:hAnsi="Garamond"/>
        </w:rPr>
        <w:t>l modelo español no fue, con mucho, la única fuente del Código chileno. Desde luego, ha de mencionarse el Código belga, que habría hecho sentir su influencia “especialmente en la distribución de los títulos del libro II y el contenido de algunos crímenes y simples delitos”.</w:t>
      </w:r>
      <w:bookmarkStart w:id="13" w:name="_Ref7368449"/>
      <w:r w:rsidRPr="002C646E">
        <w:rPr>
          <w:rStyle w:val="Refdenotaalpie"/>
          <w:rFonts w:ascii="Garamond" w:hAnsi="Garamond"/>
        </w:rPr>
        <w:footnoteReference w:id="41"/>
      </w:r>
      <w:bookmarkEnd w:id="13"/>
      <w:r w:rsidRPr="002C646E">
        <w:rPr>
          <w:rFonts w:ascii="Garamond" w:hAnsi="Garamond"/>
        </w:rPr>
        <w:t xml:space="preserve"> A aquellos cuerpos legislativos de los que daba noticia Pacheco han de sumarse otras referencias, influyendo así “[i]</w:t>
      </w:r>
      <w:proofErr w:type="spellStart"/>
      <w:r w:rsidRPr="002C646E">
        <w:rPr>
          <w:rFonts w:ascii="Garamond" w:hAnsi="Garamond"/>
        </w:rPr>
        <w:t>ndirectamente</w:t>
      </w:r>
      <w:proofErr w:type="spellEnd"/>
      <w:r w:rsidRPr="002C646E">
        <w:rPr>
          <w:rFonts w:ascii="Garamond" w:hAnsi="Garamond"/>
        </w:rPr>
        <w:t xml:space="preserve"> el Código de las Dos Sicilias (1819) y el del Imperio de Brasil (1830), modelo del español de 1848”.</w:t>
      </w:r>
      <w:r w:rsidRPr="002C646E">
        <w:rPr>
          <w:rStyle w:val="Refdenotaalpie"/>
          <w:rFonts w:ascii="Garamond" w:hAnsi="Garamond"/>
        </w:rPr>
        <w:footnoteReference w:id="42"/>
      </w:r>
      <w:r w:rsidRPr="002C646E">
        <w:rPr>
          <w:rFonts w:ascii="Garamond" w:hAnsi="Garamond"/>
        </w:rPr>
        <w:t xml:space="preserve"> En efecto, las fuentes del Código de 1848 conducen, finalmente, a Francia, pues el texto español, “inspirado en el Código del Brasil de 1830 –copia a su vez del napolitano, como éste lo era del francés de 1810–, pertenece a la rama legislativa francesa, y reconoce como tronco común el Código napoleónico.”</w:t>
      </w:r>
      <w:r w:rsidRPr="002C646E">
        <w:rPr>
          <w:rStyle w:val="Refdenotaalpie"/>
          <w:rFonts w:ascii="Garamond" w:hAnsi="Garamond"/>
        </w:rPr>
        <w:footnoteReference w:id="43"/>
      </w:r>
      <w:r>
        <w:rPr>
          <w:rFonts w:ascii="Garamond" w:hAnsi="Garamond"/>
        </w:rPr>
        <w:t xml:space="preserve"> </w:t>
      </w:r>
      <w:r w:rsidRPr="002C646E">
        <w:rPr>
          <w:rFonts w:ascii="Garamond" w:hAnsi="Garamond"/>
        </w:rPr>
        <w:t xml:space="preserve">Asimismo, </w:t>
      </w:r>
      <w:r>
        <w:rPr>
          <w:rFonts w:ascii="Garamond" w:hAnsi="Garamond"/>
        </w:rPr>
        <w:t xml:space="preserve">se advierte la influencia </w:t>
      </w:r>
      <w:r w:rsidRPr="002C646E">
        <w:rPr>
          <w:rFonts w:ascii="Garamond" w:hAnsi="Garamond"/>
        </w:rPr>
        <w:t>“de otros códigos penales con carácter secundario como el austriaco, especialmente en las circunstancias atenuantes de la responsabilidad.”</w:t>
      </w:r>
      <w:r w:rsidRPr="002C646E">
        <w:rPr>
          <w:rStyle w:val="Refdenotaalpie"/>
          <w:rFonts w:ascii="Garamond" w:hAnsi="Garamond"/>
        </w:rPr>
        <w:footnoteReference w:id="44"/>
      </w:r>
      <w:r w:rsidRPr="002C646E">
        <w:rPr>
          <w:rFonts w:ascii="Garamond" w:hAnsi="Garamond"/>
        </w:rPr>
        <w:t xml:space="preserve"> </w:t>
      </w:r>
    </w:p>
    <w:p w:rsidR="00E229F1" w:rsidRPr="002C646E" w:rsidRDefault="00E229F1" w:rsidP="00AC39E1">
      <w:pPr>
        <w:ind w:firstLine="142"/>
        <w:rPr>
          <w:rFonts w:ascii="Garamond" w:hAnsi="Garamond"/>
        </w:rPr>
      </w:pPr>
    </w:p>
    <w:p w:rsidR="00E229F1" w:rsidRPr="0027618A" w:rsidRDefault="00E229F1" w:rsidP="00E229F1">
      <w:pPr>
        <w:pStyle w:val="Prrafodelista"/>
        <w:tabs>
          <w:tab w:val="left" w:pos="284"/>
        </w:tabs>
        <w:ind w:left="0"/>
        <w:jc w:val="center"/>
        <w:rPr>
          <w:rFonts w:ascii="Garamond" w:hAnsi="Garamond"/>
          <w:smallCaps/>
        </w:rPr>
      </w:pPr>
      <w:r>
        <w:rPr>
          <w:rFonts w:ascii="Garamond" w:hAnsi="Garamond"/>
          <w:smallCaps/>
        </w:rPr>
        <w:t>II. El modelo español del artículo 64 y la actividad de la Comisión Redactora</w:t>
      </w:r>
    </w:p>
    <w:p w:rsidR="00E229F1" w:rsidRPr="002C646E" w:rsidRDefault="00E229F1" w:rsidP="00AC39E1">
      <w:pPr>
        <w:ind w:firstLine="142"/>
        <w:rPr>
          <w:rFonts w:ascii="Garamond" w:hAnsi="Garamond"/>
        </w:rPr>
      </w:pPr>
    </w:p>
    <w:p w:rsidR="00E229F1" w:rsidRPr="002C646E" w:rsidRDefault="00E229F1" w:rsidP="00AC39E1">
      <w:pPr>
        <w:ind w:firstLine="142"/>
        <w:rPr>
          <w:rFonts w:ascii="Garamond" w:hAnsi="Garamond"/>
        </w:rPr>
      </w:pPr>
      <w:r w:rsidRPr="002C646E">
        <w:rPr>
          <w:rFonts w:ascii="Garamond" w:hAnsi="Garamond"/>
        </w:rPr>
        <w:t>En las dos oportunidades en que analizó la disposición que nos ocupa</w:t>
      </w:r>
      <w:r w:rsidR="005C5435">
        <w:rPr>
          <w:rFonts w:ascii="Garamond" w:hAnsi="Garamond"/>
        </w:rPr>
        <w:t>,</w:t>
      </w:r>
      <w:r w:rsidRPr="002C646E">
        <w:rPr>
          <w:rStyle w:val="Refdenotaalpie"/>
          <w:rFonts w:ascii="Garamond" w:hAnsi="Garamond"/>
        </w:rPr>
        <w:footnoteReference w:id="45"/>
      </w:r>
      <w:r w:rsidRPr="002C646E">
        <w:rPr>
          <w:rFonts w:ascii="Garamond" w:hAnsi="Garamond"/>
        </w:rPr>
        <w:t xml:space="preserve"> la Comisión Redactora se sirvió de su modelo habitual, el Código español de 1848-1850, siguiendo muy de cerca el texto </w:t>
      </w:r>
      <w:r w:rsidRPr="002C646E">
        <w:rPr>
          <w:rFonts w:ascii="Garamond" w:hAnsi="Garamond"/>
        </w:rPr>
        <w:lastRenderedPageBreak/>
        <w:t>de su artículo 69</w:t>
      </w:r>
      <w:r>
        <w:rPr>
          <w:rFonts w:ascii="Garamond" w:hAnsi="Garamond"/>
        </w:rPr>
        <w:t>.</w:t>
      </w:r>
      <w:r>
        <w:rPr>
          <w:rStyle w:val="Refdenotaalpie"/>
          <w:rFonts w:ascii="Garamond" w:hAnsi="Garamond"/>
        </w:rPr>
        <w:footnoteReference w:id="46"/>
      </w:r>
      <w:r w:rsidRPr="002C646E">
        <w:rPr>
          <w:rFonts w:ascii="Garamond" w:hAnsi="Garamond"/>
        </w:rPr>
        <w:t xml:space="preserve"> </w:t>
      </w:r>
      <w:r w:rsidRPr="006920BA">
        <w:rPr>
          <w:rFonts w:ascii="Garamond" w:hAnsi="Garamond"/>
        </w:rPr>
        <w:t xml:space="preserve">La actividad de los comisionados se concentró en dos aspectos: el alcance de la disposición y la oportunidad del conocimiento como requisito para la comunicabilidad de las circunstancias “materiales”. </w:t>
      </w:r>
      <w:r>
        <w:rPr>
          <w:rFonts w:ascii="Garamond" w:hAnsi="Garamond"/>
        </w:rPr>
        <w:t>E</w:t>
      </w:r>
      <w:r w:rsidRPr="006920BA">
        <w:rPr>
          <w:rFonts w:ascii="Garamond" w:hAnsi="Garamond"/>
        </w:rPr>
        <w:t>n est</w:t>
      </w:r>
      <w:r>
        <w:rPr>
          <w:rFonts w:ascii="Garamond" w:hAnsi="Garamond"/>
        </w:rPr>
        <w:t>o</w:t>
      </w:r>
      <w:r w:rsidRPr="006920BA">
        <w:rPr>
          <w:rFonts w:ascii="Garamond" w:hAnsi="Garamond"/>
        </w:rPr>
        <w:t xml:space="preserve"> último se introdujo la única modificación, incorporando la posibilidad de que el conocimiento de la “circunstancia material” concurriera no sólo al momento de la acción, </w:t>
      </w:r>
      <w:r>
        <w:rPr>
          <w:rFonts w:ascii="Garamond" w:hAnsi="Garamond"/>
        </w:rPr>
        <w:t xml:space="preserve">por lo que </w:t>
      </w:r>
      <w:r w:rsidRPr="006920BA">
        <w:rPr>
          <w:rFonts w:ascii="Garamond" w:hAnsi="Garamond"/>
        </w:rPr>
        <w:t>ella beneficia</w:t>
      </w:r>
      <w:r>
        <w:rPr>
          <w:rFonts w:ascii="Garamond" w:hAnsi="Garamond"/>
        </w:rPr>
        <w:t xml:space="preserve"> o</w:t>
      </w:r>
      <w:r w:rsidRPr="006920BA">
        <w:rPr>
          <w:rFonts w:ascii="Garamond" w:hAnsi="Garamond"/>
        </w:rPr>
        <w:t xml:space="preserve"> perjudica a aquel que tuviera conocimiento con anterioridad a la conducta.</w:t>
      </w:r>
      <w:r w:rsidRPr="006920BA">
        <w:rPr>
          <w:rStyle w:val="Refdenotaalpie"/>
          <w:rFonts w:ascii="Garamond" w:hAnsi="Garamond"/>
        </w:rPr>
        <w:footnoteReference w:id="47"/>
      </w:r>
      <w:r w:rsidRPr="006920BA">
        <w:rPr>
          <w:rFonts w:ascii="Garamond" w:hAnsi="Garamond"/>
        </w:rPr>
        <w:t xml:space="preserve"> </w:t>
      </w:r>
      <w:r>
        <w:rPr>
          <w:rFonts w:ascii="Garamond" w:hAnsi="Garamond"/>
        </w:rPr>
        <w:t>E</w:t>
      </w:r>
      <w:r w:rsidRPr="006920BA">
        <w:rPr>
          <w:rFonts w:ascii="Garamond" w:hAnsi="Garamond"/>
        </w:rPr>
        <w:t xml:space="preserve">sta extensión </w:t>
      </w:r>
      <w:r>
        <w:rPr>
          <w:rFonts w:ascii="Garamond" w:hAnsi="Garamond"/>
        </w:rPr>
        <w:t xml:space="preserve">se justificó porque </w:t>
      </w:r>
      <w:r w:rsidRPr="006920BA">
        <w:rPr>
          <w:rFonts w:ascii="Garamond" w:hAnsi="Garamond"/>
        </w:rPr>
        <w:t>“tanto importa que el conocimiento de la circunstancia agravante sea anterior como simultánea con el hecho criminal, i sin ella se escluiria a los que se hallaren en el primer caso</w:t>
      </w:r>
      <w:r w:rsidRPr="002C646E">
        <w:rPr>
          <w:rFonts w:ascii="Garamond" w:hAnsi="Garamond"/>
        </w:rPr>
        <w:t>”.</w:t>
      </w:r>
      <w:bookmarkStart w:id="14" w:name="_Ref7369369"/>
      <w:r w:rsidRPr="002C646E">
        <w:rPr>
          <w:rStyle w:val="Refdenotaalpie"/>
          <w:rFonts w:ascii="Garamond" w:hAnsi="Garamond"/>
        </w:rPr>
        <w:footnoteReference w:id="48"/>
      </w:r>
      <w:bookmarkEnd w:id="14"/>
      <w:r w:rsidRPr="002C646E">
        <w:rPr>
          <w:rFonts w:ascii="Garamond" w:hAnsi="Garamond"/>
        </w:rPr>
        <w:t xml:space="preserve"> Sea como fuere, la adición es de interés por el papel que ha jugado la referencia al conocimiento en general, la que, a pesar de referirse exclusivamente a las circunstancias modificatorias, se ha empleado como fundamento positivo de la exigencia general de dolo (o de su ausencia, el error de tipo).</w:t>
      </w:r>
      <w:r w:rsidRPr="002C646E">
        <w:rPr>
          <w:rStyle w:val="Refdenotaalpie"/>
          <w:rFonts w:ascii="Garamond" w:hAnsi="Garamond"/>
        </w:rPr>
        <w:footnoteReference w:id="49"/>
      </w:r>
      <w:r w:rsidRPr="002C646E">
        <w:rPr>
          <w:rFonts w:ascii="Garamond" w:hAnsi="Garamond"/>
        </w:rPr>
        <w:t xml:space="preserve"> </w:t>
      </w:r>
      <w:r>
        <w:rPr>
          <w:rFonts w:ascii="Garamond" w:hAnsi="Garamond"/>
        </w:rPr>
        <w:t>Además</w:t>
      </w:r>
      <w:r w:rsidRPr="0027567E">
        <w:rPr>
          <w:rFonts w:ascii="Garamond" w:hAnsi="Garamond"/>
        </w:rPr>
        <w:t xml:space="preserve">, en este contexto, la aceptación del conocimiento anterior al hecho ha sido </w:t>
      </w:r>
      <w:r>
        <w:rPr>
          <w:rFonts w:ascii="Garamond" w:hAnsi="Garamond"/>
        </w:rPr>
        <w:t xml:space="preserve">invocada en apoyo </w:t>
      </w:r>
      <w:r w:rsidRPr="0027567E">
        <w:rPr>
          <w:rFonts w:ascii="Garamond" w:hAnsi="Garamond"/>
        </w:rPr>
        <w:t>de un concepto normativo del dolo.</w:t>
      </w:r>
      <w:r w:rsidRPr="0027567E">
        <w:rPr>
          <w:rStyle w:val="Refdenotaalpie"/>
          <w:rFonts w:ascii="Garamond" w:hAnsi="Garamond"/>
        </w:rPr>
        <w:footnoteReference w:id="50"/>
      </w:r>
    </w:p>
    <w:p w:rsidR="00E229F1" w:rsidRPr="002C646E" w:rsidRDefault="00E229F1" w:rsidP="00AC39E1">
      <w:pPr>
        <w:ind w:firstLine="142"/>
        <w:rPr>
          <w:rFonts w:ascii="Garamond" w:hAnsi="Garamond"/>
        </w:rPr>
      </w:pPr>
      <w:r w:rsidRPr="002C646E">
        <w:rPr>
          <w:rFonts w:ascii="Garamond" w:hAnsi="Garamond"/>
        </w:rPr>
        <w:t xml:space="preserve">La segunda cuestión que reclamó la atención de los comisionados debió haber tenido su origen en otra de las fuentes habituales del Código chileno: los comentarios de Joaquín Francisco Pacheco, quien cuestiona la amplitud del inciso segundo del artículo 69 del Código español que, como nuestro artículo 64, extiende su alcance tanto a agravantes como atenuantes. A diferencia de la regla que impone la incomunicabilidad de las circunstancias “personales”, Pacheco declara, respecto de la comunicabilidad de las agravantes, que comprendía “su doctrina” y estaba en condiciones de “multiplicar los ejemplos”, sin que pudiese hacer lo </w:t>
      </w:r>
      <w:r>
        <w:rPr>
          <w:rFonts w:ascii="Garamond" w:hAnsi="Garamond"/>
        </w:rPr>
        <w:t>propi</w:t>
      </w:r>
      <w:r w:rsidR="00DC750E">
        <w:rPr>
          <w:rFonts w:ascii="Garamond" w:hAnsi="Garamond"/>
        </w:rPr>
        <w:t>o</w:t>
      </w:r>
      <w:r>
        <w:rPr>
          <w:rFonts w:ascii="Garamond" w:hAnsi="Garamond"/>
        </w:rPr>
        <w:t xml:space="preserve"> con</w:t>
      </w:r>
      <w:r w:rsidRPr="002C646E">
        <w:rPr>
          <w:rFonts w:ascii="Garamond" w:hAnsi="Garamond"/>
        </w:rPr>
        <w:t xml:space="preserve"> las atenuantes, pues no alcanzaba a divisar atenuantes “materiales” que pudieran extenderse a coimputados en que no concurrieran.</w:t>
      </w:r>
      <w:r w:rsidRPr="002C646E">
        <w:rPr>
          <w:rStyle w:val="Refdenotaalpie"/>
          <w:rFonts w:ascii="Garamond" w:hAnsi="Garamond"/>
        </w:rPr>
        <w:footnoteReference w:id="51"/>
      </w:r>
      <w:r w:rsidRPr="002C646E">
        <w:rPr>
          <w:rFonts w:ascii="Garamond" w:hAnsi="Garamond"/>
        </w:rPr>
        <w:t xml:space="preserve"> </w:t>
      </w:r>
      <w:r w:rsidR="00DC750E">
        <w:rPr>
          <w:rFonts w:ascii="Garamond" w:hAnsi="Garamond"/>
        </w:rPr>
        <w:t>Estas</w:t>
      </w:r>
      <w:r w:rsidRPr="002C646E">
        <w:rPr>
          <w:rFonts w:ascii="Garamond" w:hAnsi="Garamond"/>
        </w:rPr>
        <w:t xml:space="preserve"> dudas de Pacheco debieron haber movido a la reflexión de </w:t>
      </w:r>
      <w:r w:rsidR="00DC750E">
        <w:rPr>
          <w:rFonts w:ascii="Garamond" w:hAnsi="Garamond"/>
        </w:rPr>
        <w:t>los comisionados</w:t>
      </w:r>
      <w:r w:rsidRPr="002C646E">
        <w:rPr>
          <w:rFonts w:ascii="Garamond" w:hAnsi="Garamond"/>
        </w:rPr>
        <w:t xml:space="preserve">, </w:t>
      </w:r>
      <w:r w:rsidR="00DC750E">
        <w:rPr>
          <w:rFonts w:ascii="Garamond" w:hAnsi="Garamond"/>
        </w:rPr>
        <w:t xml:space="preserve">ya que </w:t>
      </w:r>
      <w:r w:rsidRPr="002C646E">
        <w:rPr>
          <w:rFonts w:ascii="Garamond" w:hAnsi="Garamond"/>
        </w:rPr>
        <w:t>convinie</w:t>
      </w:r>
      <w:r w:rsidR="00DC750E">
        <w:rPr>
          <w:rFonts w:ascii="Garamond" w:hAnsi="Garamond"/>
        </w:rPr>
        <w:t>ro</w:t>
      </w:r>
      <w:r w:rsidRPr="002C646E">
        <w:rPr>
          <w:rFonts w:ascii="Garamond" w:hAnsi="Garamond"/>
        </w:rPr>
        <w:t>n, “después de alguna discusión entre los presentes, en que era necesario dejarlo íntegro para que por él se tomaran en cuenta las circunstancias que pueden atenuar o agravar la responsabilidad de los delincuentes en un delito dado.”</w:t>
      </w:r>
      <w:bookmarkStart w:id="15" w:name="_Ref521686876"/>
      <w:r w:rsidRPr="002C646E">
        <w:rPr>
          <w:rStyle w:val="Refdenotaalpie"/>
          <w:rFonts w:ascii="Garamond" w:hAnsi="Garamond"/>
        </w:rPr>
        <w:footnoteReference w:id="52"/>
      </w:r>
      <w:bookmarkEnd w:id="15"/>
      <w:r w:rsidRPr="002C646E">
        <w:rPr>
          <w:rFonts w:ascii="Garamond" w:hAnsi="Garamond"/>
        </w:rPr>
        <w:t xml:space="preserve"> </w:t>
      </w:r>
    </w:p>
    <w:p w:rsidR="00E229F1" w:rsidRPr="002C646E" w:rsidRDefault="00E229F1" w:rsidP="00AC39E1">
      <w:pPr>
        <w:ind w:firstLine="142"/>
        <w:rPr>
          <w:rFonts w:ascii="Garamond" w:hAnsi="Garamond"/>
        </w:rPr>
      </w:pPr>
      <w:r w:rsidRPr="00083A3A">
        <w:rPr>
          <w:rFonts w:ascii="Garamond" w:hAnsi="Garamond"/>
        </w:rPr>
        <w:t xml:space="preserve">Los antecedentes del artículo 69 del Código español, que sirvieron de modelo al legislador nacional, </w:t>
      </w:r>
      <w:r w:rsidR="00306473" w:rsidRPr="00083A3A">
        <w:rPr>
          <w:rFonts w:ascii="Garamond" w:hAnsi="Garamond"/>
        </w:rPr>
        <w:t>parecieran</w:t>
      </w:r>
      <w:r w:rsidRPr="00083A3A">
        <w:rPr>
          <w:rFonts w:ascii="Garamond" w:hAnsi="Garamond"/>
        </w:rPr>
        <w:t xml:space="preserve"> </w:t>
      </w:r>
      <w:r w:rsidR="00306473" w:rsidRPr="00083A3A">
        <w:rPr>
          <w:rFonts w:ascii="Garamond" w:hAnsi="Garamond"/>
        </w:rPr>
        <w:t xml:space="preserve">encontrarse </w:t>
      </w:r>
      <w:r w:rsidRPr="00083A3A">
        <w:rPr>
          <w:rFonts w:ascii="Garamond" w:hAnsi="Garamond"/>
        </w:rPr>
        <w:t>en el Código del Reino de las Dos Sicilias.</w:t>
      </w:r>
      <w:bookmarkStart w:id="16" w:name="_Ref530472190"/>
      <w:r w:rsidRPr="00083A3A">
        <w:rPr>
          <w:rStyle w:val="Refdenotaalpie"/>
          <w:rFonts w:ascii="Garamond" w:hAnsi="Garamond"/>
        </w:rPr>
        <w:footnoteReference w:id="53"/>
      </w:r>
      <w:bookmarkEnd w:id="16"/>
      <w:r w:rsidR="00083A3A">
        <w:rPr>
          <w:rFonts w:ascii="Garamond" w:hAnsi="Garamond"/>
        </w:rPr>
        <w:t xml:space="preserve"> </w:t>
      </w:r>
      <w:r w:rsidR="004512FC">
        <w:rPr>
          <w:rFonts w:ascii="Garamond" w:hAnsi="Garamond"/>
        </w:rPr>
        <w:t>A</w:t>
      </w:r>
      <w:r w:rsidR="00083A3A">
        <w:rPr>
          <w:rFonts w:ascii="Garamond" w:hAnsi="Garamond"/>
        </w:rPr>
        <w:t>sí lo sugiere, e</w:t>
      </w:r>
      <w:r>
        <w:rPr>
          <w:rFonts w:ascii="Garamond" w:hAnsi="Garamond"/>
        </w:rPr>
        <w:t xml:space="preserve">n </w:t>
      </w:r>
      <w:r>
        <w:rPr>
          <w:rFonts w:ascii="Garamond" w:hAnsi="Garamond"/>
        </w:rPr>
        <w:lastRenderedPageBreak/>
        <w:t xml:space="preserve">primer lugar, </w:t>
      </w:r>
      <w:r w:rsidR="00083A3A">
        <w:rPr>
          <w:rFonts w:ascii="Garamond" w:hAnsi="Garamond"/>
        </w:rPr>
        <w:t xml:space="preserve">que </w:t>
      </w:r>
      <w:r>
        <w:rPr>
          <w:rFonts w:ascii="Garamond" w:hAnsi="Garamond"/>
        </w:rPr>
        <w:t xml:space="preserve">la recopilación napolitana </w:t>
      </w:r>
      <w:r w:rsidR="00083A3A">
        <w:rPr>
          <w:rFonts w:ascii="Garamond" w:hAnsi="Garamond"/>
        </w:rPr>
        <w:t xml:space="preserve">no sólo haya sido </w:t>
      </w:r>
      <w:r>
        <w:rPr>
          <w:rFonts w:ascii="Garamond" w:hAnsi="Garamond"/>
        </w:rPr>
        <w:t>una de las fuentes utilizada</w:t>
      </w:r>
      <w:r w:rsidR="00083A3A">
        <w:rPr>
          <w:rFonts w:ascii="Garamond" w:hAnsi="Garamond"/>
        </w:rPr>
        <w:t>s</w:t>
      </w:r>
      <w:r>
        <w:rPr>
          <w:rFonts w:ascii="Garamond" w:hAnsi="Garamond"/>
        </w:rPr>
        <w:t xml:space="preserve"> por los redactores del Código español de 1848, sino que además </w:t>
      </w:r>
      <w:r w:rsidR="00100410">
        <w:rPr>
          <w:rFonts w:ascii="Garamond" w:hAnsi="Garamond"/>
        </w:rPr>
        <w:t>sirvió de</w:t>
      </w:r>
      <w:r>
        <w:rPr>
          <w:rFonts w:ascii="Garamond" w:hAnsi="Garamond"/>
        </w:rPr>
        <w:t xml:space="preserve"> base, junto con el Código imperial del Brasil, </w:t>
      </w:r>
      <w:r w:rsidR="00100410">
        <w:rPr>
          <w:rFonts w:ascii="Garamond" w:hAnsi="Garamond"/>
        </w:rPr>
        <w:t>al trabajo de</w:t>
      </w:r>
      <w:r>
        <w:rPr>
          <w:rFonts w:ascii="Garamond" w:hAnsi="Garamond"/>
        </w:rPr>
        <w:t xml:space="preserve"> Seijas Lozano, autor del anteproyecto del libro I.</w:t>
      </w:r>
      <w:bookmarkStart w:id="17" w:name="_Ref7371454"/>
      <w:r>
        <w:rPr>
          <w:rStyle w:val="Refdenotaalpie"/>
          <w:rFonts w:ascii="Garamond" w:hAnsi="Garamond"/>
        </w:rPr>
        <w:footnoteReference w:id="54"/>
      </w:r>
      <w:bookmarkEnd w:id="17"/>
      <w:r>
        <w:rPr>
          <w:rFonts w:ascii="Garamond" w:hAnsi="Garamond"/>
        </w:rPr>
        <w:t xml:space="preserve"> Asimismo, se reconoce que una de las influencias del Código napolitano en la legislación española de 1848 se produjo en materia de determinación de la pena.</w:t>
      </w:r>
      <w:bookmarkStart w:id="18" w:name="_Ref7371841"/>
      <w:r>
        <w:rPr>
          <w:rStyle w:val="Refdenotaalpie"/>
          <w:rFonts w:ascii="Garamond" w:hAnsi="Garamond"/>
        </w:rPr>
        <w:footnoteReference w:id="55"/>
      </w:r>
      <w:bookmarkEnd w:id="18"/>
      <w:r>
        <w:rPr>
          <w:rFonts w:ascii="Garamond" w:hAnsi="Garamond"/>
        </w:rPr>
        <w:t xml:space="preserve"> Esta influencia es razonable, pues encuentra explicación en el desarrollo de la temática entre los juristas italianos y su coherente recepción en los códigos de ese origen, a lo que se ha de sumar que la recopilación napolitana se caracterizó por la particularidad de extender la regulación también a las circunstancias materiales.</w:t>
      </w:r>
      <w:bookmarkStart w:id="19" w:name="_Ref7016577"/>
      <w:r>
        <w:rPr>
          <w:rStyle w:val="Refdenotaalpie"/>
          <w:rFonts w:ascii="Garamond" w:hAnsi="Garamond"/>
        </w:rPr>
        <w:footnoteReference w:id="56"/>
      </w:r>
      <w:bookmarkEnd w:id="19"/>
      <w:r>
        <w:rPr>
          <w:rFonts w:ascii="Garamond" w:hAnsi="Garamond"/>
        </w:rPr>
        <w:t xml:space="preserve"> Finalmente, confirma el antecedente napolitano que </w:t>
      </w:r>
      <w:r w:rsidRPr="002C646E">
        <w:rPr>
          <w:rFonts w:ascii="Garamond" w:hAnsi="Garamond"/>
        </w:rPr>
        <w:t xml:space="preserve">Pacheco </w:t>
      </w:r>
      <w:r>
        <w:rPr>
          <w:rFonts w:ascii="Garamond" w:hAnsi="Garamond"/>
        </w:rPr>
        <w:t>transcriba</w:t>
      </w:r>
      <w:r w:rsidRPr="002C646E">
        <w:rPr>
          <w:rFonts w:ascii="Garamond" w:hAnsi="Garamond"/>
        </w:rPr>
        <w:t xml:space="preserve">, como única “concordancia” del artículo 69 del Código español, los artículos 76 y 77 del Código </w:t>
      </w:r>
      <w:r>
        <w:rPr>
          <w:rFonts w:ascii="Garamond" w:hAnsi="Garamond"/>
        </w:rPr>
        <w:t>de las Dos Sicilias</w:t>
      </w:r>
      <w:r w:rsidRPr="002C646E">
        <w:rPr>
          <w:rFonts w:ascii="Garamond" w:hAnsi="Garamond"/>
        </w:rPr>
        <w:t>.</w:t>
      </w:r>
      <w:bookmarkStart w:id="20" w:name="_Ref522285635"/>
      <w:r w:rsidRPr="002C646E">
        <w:rPr>
          <w:rStyle w:val="Refdenotaalpie"/>
          <w:rFonts w:ascii="Garamond" w:hAnsi="Garamond"/>
        </w:rPr>
        <w:footnoteReference w:id="57"/>
      </w:r>
      <w:bookmarkEnd w:id="20"/>
      <w:r w:rsidRPr="002C646E">
        <w:rPr>
          <w:rFonts w:ascii="Garamond" w:hAnsi="Garamond"/>
        </w:rPr>
        <w:t xml:space="preserve"> </w:t>
      </w:r>
    </w:p>
    <w:p w:rsidR="00E229F1" w:rsidRPr="002C646E" w:rsidRDefault="00E229F1" w:rsidP="00AC39E1">
      <w:pPr>
        <w:ind w:firstLine="142"/>
        <w:rPr>
          <w:rFonts w:ascii="Garamond" w:hAnsi="Garamond"/>
        </w:rPr>
      </w:pPr>
    </w:p>
    <w:p w:rsidR="00E229F1" w:rsidRPr="003B2E9D" w:rsidRDefault="00E229F1" w:rsidP="00E229F1">
      <w:pPr>
        <w:pStyle w:val="Prrafodelista"/>
        <w:tabs>
          <w:tab w:val="left" w:pos="284"/>
        </w:tabs>
        <w:ind w:left="0"/>
        <w:jc w:val="center"/>
        <w:rPr>
          <w:rFonts w:ascii="Garamond" w:hAnsi="Garamond"/>
          <w:smallCaps/>
        </w:rPr>
      </w:pPr>
      <w:r>
        <w:rPr>
          <w:rFonts w:ascii="Garamond" w:hAnsi="Garamond"/>
          <w:smallCaps/>
        </w:rPr>
        <w:t>III.</w:t>
      </w:r>
      <w:r w:rsidRPr="003B2E9D">
        <w:rPr>
          <w:rFonts w:ascii="Garamond" w:hAnsi="Garamond"/>
          <w:smallCaps/>
        </w:rPr>
        <w:t xml:space="preserve"> La comunicabilidad de las </w:t>
      </w:r>
      <w:r>
        <w:rPr>
          <w:rFonts w:ascii="Garamond" w:hAnsi="Garamond"/>
          <w:smallCaps/>
        </w:rPr>
        <w:t xml:space="preserve">circunstancias </w:t>
      </w:r>
      <w:r w:rsidRPr="003B2E9D">
        <w:rPr>
          <w:rFonts w:ascii="Garamond" w:hAnsi="Garamond"/>
          <w:smallCaps/>
        </w:rPr>
        <w:t>modificatorias en el Código napolitano de 1819</w:t>
      </w:r>
    </w:p>
    <w:p w:rsidR="00E229F1" w:rsidRDefault="00E229F1" w:rsidP="00AC39E1">
      <w:pPr>
        <w:ind w:firstLine="142"/>
        <w:rPr>
          <w:rFonts w:ascii="Garamond" w:hAnsi="Garamond"/>
        </w:rPr>
      </w:pPr>
    </w:p>
    <w:p w:rsidR="00E229F1" w:rsidRPr="002C646E" w:rsidRDefault="00E229F1" w:rsidP="00AC39E1">
      <w:pPr>
        <w:ind w:firstLine="142"/>
        <w:rPr>
          <w:rFonts w:ascii="Garamond" w:hAnsi="Garamond"/>
        </w:rPr>
      </w:pPr>
      <w:r w:rsidRPr="000C3C7F">
        <w:rPr>
          <w:rFonts w:ascii="Garamond" w:hAnsi="Garamond"/>
        </w:rPr>
        <w:t xml:space="preserve">1. </w:t>
      </w:r>
      <w:r w:rsidRPr="000C3C7F">
        <w:rPr>
          <w:rFonts w:ascii="Garamond" w:hAnsi="Garamond"/>
          <w:i/>
        </w:rPr>
        <w:t>El contenido de los artículos 76 y 77 del Código de las Dos Sicilias</w:t>
      </w:r>
    </w:p>
    <w:p w:rsidR="00E229F1" w:rsidRPr="002C646E" w:rsidRDefault="00E229F1" w:rsidP="00AC39E1">
      <w:pPr>
        <w:ind w:firstLine="142"/>
        <w:rPr>
          <w:rFonts w:ascii="Garamond" w:hAnsi="Garamond"/>
        </w:rPr>
      </w:pPr>
      <w:r w:rsidRPr="002C646E">
        <w:rPr>
          <w:rFonts w:ascii="Garamond" w:hAnsi="Garamond"/>
        </w:rPr>
        <w:lastRenderedPageBreak/>
        <w:t>Las reglas que el legislador español contemplaba en una única disposición, forma en que fue recibida en Chile, se encontraban divididas en dos artículos del Código napolitano. Siguiendo empero el mismo orden, el artículo 76 napolitano se ocupaba de las circunstancias “personales”, mientras que la disposición siguiente trataba las circunstancias “materiales”.</w:t>
      </w:r>
      <w:r w:rsidRPr="002C646E">
        <w:rPr>
          <w:rStyle w:val="Refdenotaalpie"/>
          <w:rFonts w:ascii="Garamond" w:hAnsi="Garamond"/>
        </w:rPr>
        <w:footnoteReference w:id="58"/>
      </w:r>
      <w:r w:rsidR="000B5890">
        <w:rPr>
          <w:rFonts w:ascii="Garamond" w:hAnsi="Garamond"/>
        </w:rPr>
        <w:t xml:space="preserve"> C</w:t>
      </w:r>
      <w:r w:rsidRPr="002C646E">
        <w:rPr>
          <w:rFonts w:ascii="Garamond" w:hAnsi="Garamond"/>
        </w:rPr>
        <w:t>ompara</w:t>
      </w:r>
      <w:r w:rsidR="000B5890">
        <w:rPr>
          <w:rFonts w:ascii="Garamond" w:hAnsi="Garamond"/>
        </w:rPr>
        <w:t>das</w:t>
      </w:r>
      <w:r w:rsidRPr="002C646E">
        <w:rPr>
          <w:rFonts w:ascii="Garamond" w:hAnsi="Garamond"/>
        </w:rPr>
        <w:t xml:space="preserve"> con las </w:t>
      </w:r>
      <w:r w:rsidR="000B5890">
        <w:rPr>
          <w:rFonts w:ascii="Garamond" w:hAnsi="Garamond"/>
        </w:rPr>
        <w:t xml:space="preserve">disposiciones </w:t>
      </w:r>
      <w:r>
        <w:rPr>
          <w:rFonts w:ascii="Garamond" w:hAnsi="Garamond"/>
        </w:rPr>
        <w:t xml:space="preserve">españolas y chilenas, </w:t>
      </w:r>
      <w:r w:rsidRPr="002C646E">
        <w:rPr>
          <w:rFonts w:ascii="Garamond" w:hAnsi="Garamond"/>
        </w:rPr>
        <w:t xml:space="preserve">la descripción del presupuesto en </w:t>
      </w:r>
      <w:r>
        <w:rPr>
          <w:rFonts w:ascii="Garamond" w:hAnsi="Garamond"/>
        </w:rPr>
        <w:t xml:space="preserve">la legislación napolitana exhibe un </w:t>
      </w:r>
      <w:r w:rsidRPr="002C646E">
        <w:rPr>
          <w:rFonts w:ascii="Garamond" w:hAnsi="Garamond"/>
        </w:rPr>
        <w:t>carácter más gener</w:t>
      </w:r>
      <w:r>
        <w:rPr>
          <w:rFonts w:ascii="Garamond" w:hAnsi="Garamond"/>
        </w:rPr>
        <w:t xml:space="preserve">al. </w:t>
      </w:r>
      <w:r w:rsidRPr="002C646E">
        <w:rPr>
          <w:rFonts w:ascii="Garamond" w:hAnsi="Garamond"/>
        </w:rPr>
        <w:t>Así, mientras el Código napolitano habla sencillamente de “</w:t>
      </w:r>
      <w:r w:rsidRPr="008C22A6">
        <w:rPr>
          <w:rFonts w:ascii="Garamond" w:hAnsi="Garamond"/>
          <w:i/>
        </w:rPr>
        <w:t>circunstancias personales</w:t>
      </w:r>
      <w:r w:rsidRPr="002C646E">
        <w:rPr>
          <w:rFonts w:ascii="Garamond" w:hAnsi="Garamond"/>
        </w:rPr>
        <w:t>” y “</w:t>
      </w:r>
      <w:r w:rsidRPr="008C22A6">
        <w:rPr>
          <w:rFonts w:ascii="Garamond" w:hAnsi="Garamond"/>
          <w:i/>
        </w:rPr>
        <w:t>circunstancias materiales</w:t>
      </w:r>
      <w:r w:rsidRPr="002C646E">
        <w:rPr>
          <w:rFonts w:ascii="Garamond" w:hAnsi="Garamond"/>
        </w:rPr>
        <w:t>”, tanto el Código chileno como el español son menos concisos: las “personales” pasaron a ser circunstancias que consisten en la disposición moral del delincuente, en sus relaciones personales con el ofendido o en otra causa personal; a su turno, las “materiales” se convirtieron en circunstancias que consisten en la ejecución material del hecho o en los medios empleados para realizarlo</w:t>
      </w:r>
      <w:r w:rsidRPr="00FE53BA">
        <w:rPr>
          <w:rFonts w:ascii="Garamond" w:hAnsi="Garamond"/>
        </w:rPr>
        <w:t>.</w:t>
      </w:r>
      <w:r>
        <w:rPr>
          <w:rFonts w:ascii="Garamond" w:hAnsi="Garamond"/>
        </w:rPr>
        <w:t xml:space="preserve"> Por otro lado</w:t>
      </w:r>
      <w:r w:rsidRPr="002C646E">
        <w:rPr>
          <w:rFonts w:ascii="Garamond" w:hAnsi="Garamond"/>
        </w:rPr>
        <w:t xml:space="preserve">, </w:t>
      </w:r>
      <w:r>
        <w:rPr>
          <w:rFonts w:ascii="Garamond" w:hAnsi="Garamond"/>
        </w:rPr>
        <w:t>el</w:t>
      </w:r>
      <w:r w:rsidRPr="002C646E">
        <w:rPr>
          <w:rFonts w:ascii="Garamond" w:hAnsi="Garamond"/>
        </w:rPr>
        <w:t xml:space="preserve"> ámbito de aplicación de las reglas dadas para el Reino de las Dos Sicilias </w:t>
      </w:r>
      <w:r>
        <w:rPr>
          <w:rFonts w:ascii="Garamond" w:hAnsi="Garamond"/>
        </w:rPr>
        <w:t xml:space="preserve">presenta </w:t>
      </w:r>
      <w:r w:rsidRPr="002C646E">
        <w:rPr>
          <w:rFonts w:ascii="Garamond" w:hAnsi="Garamond"/>
        </w:rPr>
        <w:t xml:space="preserve">una diferencia. Como se indicó, el Código Penal chileno y el español extienden su alcance tanto a las circunstancias agravantes como a las atenuantes, </w:t>
      </w:r>
      <w:r>
        <w:rPr>
          <w:rFonts w:ascii="Garamond" w:hAnsi="Garamond"/>
        </w:rPr>
        <w:t>mientras</w:t>
      </w:r>
      <w:r w:rsidRPr="002C646E">
        <w:rPr>
          <w:rFonts w:ascii="Garamond" w:hAnsi="Garamond"/>
        </w:rPr>
        <w:t xml:space="preserve"> que el Código napolitano prevé la incomunicabilidad, en función de su naturaleza “personal”, para las agravantes, atenuantes y eximentes de responsabilidad. También la legislación española se separaría de la </w:t>
      </w:r>
      <w:r w:rsidR="000B5890">
        <w:rPr>
          <w:rFonts w:ascii="Garamond" w:hAnsi="Garamond"/>
        </w:rPr>
        <w:t xml:space="preserve">regla </w:t>
      </w:r>
      <w:r w:rsidRPr="002C646E">
        <w:rPr>
          <w:rFonts w:ascii="Garamond" w:hAnsi="Garamond"/>
        </w:rPr>
        <w:t xml:space="preserve">napolitana en cuanto a la comunicabilidad de las circunstancias materiales, pues </w:t>
      </w:r>
      <w:r w:rsidR="000B5890">
        <w:rPr>
          <w:rFonts w:ascii="Garamond" w:hAnsi="Garamond"/>
        </w:rPr>
        <w:t xml:space="preserve">ésta </w:t>
      </w:r>
      <w:r w:rsidRPr="002C646E">
        <w:rPr>
          <w:rFonts w:ascii="Garamond" w:hAnsi="Garamond"/>
        </w:rPr>
        <w:t>sólo resulta</w:t>
      </w:r>
      <w:r w:rsidR="000B5890">
        <w:rPr>
          <w:rFonts w:ascii="Garamond" w:hAnsi="Garamond"/>
        </w:rPr>
        <w:t>ba</w:t>
      </w:r>
      <w:r w:rsidRPr="002C646E">
        <w:rPr>
          <w:rFonts w:ascii="Garamond" w:hAnsi="Garamond"/>
        </w:rPr>
        <w:t xml:space="preserve"> aplicable a las agravantes, escapando de su </w:t>
      </w:r>
      <w:r w:rsidR="000B5890">
        <w:rPr>
          <w:rFonts w:ascii="Garamond" w:hAnsi="Garamond"/>
        </w:rPr>
        <w:t>alcance</w:t>
      </w:r>
      <w:r w:rsidRPr="002C646E">
        <w:rPr>
          <w:rFonts w:ascii="Garamond" w:hAnsi="Garamond"/>
        </w:rPr>
        <w:t xml:space="preserve"> no sólo las minorantes, sino también las eximentes. El Código de las Dos Sicilias, por ende, en este último punto se alineaba con las dudas de Pacheco en relación con la existencia de atenuantes “materiales” y, además, exhibe una vocación más amplia, por extenderse –en lo que dice relación con la incomunicabilidad– a las eximentes</w:t>
      </w:r>
      <w:r w:rsidRPr="002D6215">
        <w:rPr>
          <w:rFonts w:ascii="Garamond" w:hAnsi="Garamond"/>
        </w:rPr>
        <w:t>.</w:t>
      </w:r>
      <w:r w:rsidRPr="002C646E">
        <w:rPr>
          <w:rStyle w:val="Refdenotaalpie"/>
          <w:rFonts w:ascii="Garamond" w:hAnsi="Garamond"/>
        </w:rPr>
        <w:footnoteReference w:id="59"/>
      </w:r>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 xml:space="preserve">No es difícil advertir que las </w:t>
      </w:r>
      <w:r>
        <w:rPr>
          <w:rFonts w:ascii="Garamond" w:hAnsi="Garamond"/>
        </w:rPr>
        <w:t xml:space="preserve">diferencias con la legislación española </w:t>
      </w:r>
      <w:r w:rsidRPr="002C646E">
        <w:rPr>
          <w:rFonts w:ascii="Garamond" w:hAnsi="Garamond"/>
        </w:rPr>
        <w:t xml:space="preserve">son considerables y significativas. Y, aunque no puede desconocerse que </w:t>
      </w:r>
      <w:r>
        <w:rPr>
          <w:rFonts w:ascii="Garamond" w:hAnsi="Garamond"/>
        </w:rPr>
        <w:t>las variaciones</w:t>
      </w:r>
      <w:r w:rsidRPr="002C646E">
        <w:rPr>
          <w:rFonts w:ascii="Garamond" w:hAnsi="Garamond"/>
        </w:rPr>
        <w:t xml:space="preserve"> aportaron simetría –al extender su aplicación a las dos especies de circunstancias modificatorias– y precisión –mediante una mayor elaboración de los criterios que abren y cierran la puerta al efecto comunicante–, lo cierto es que se alejaron de</w:t>
      </w:r>
      <w:r>
        <w:rPr>
          <w:rFonts w:ascii="Garamond" w:hAnsi="Garamond"/>
        </w:rPr>
        <w:t xml:space="preserve"> una de las posibles inspiraciones d</w:t>
      </w:r>
      <w:r w:rsidRPr="002C646E">
        <w:rPr>
          <w:rFonts w:ascii="Garamond" w:hAnsi="Garamond"/>
        </w:rPr>
        <w:t>el Código napolitano, al preterir a las eximentes. Comprobar esta última afirmación conduce a revisar el origen de los artículos 76 y 77 del Código napolitano, tarea que abordaremos en el acápite siguiente; pero antes consideramos de provecho revisar la literatura</w:t>
      </w:r>
      <w:r>
        <w:rPr>
          <w:rFonts w:ascii="Garamond" w:hAnsi="Garamond"/>
        </w:rPr>
        <w:t xml:space="preserve"> relativa a estas reglas</w:t>
      </w:r>
      <w:r w:rsidRPr="002C646E">
        <w:rPr>
          <w:rFonts w:ascii="Garamond" w:hAnsi="Garamond"/>
        </w:rPr>
        <w:t xml:space="preserve">, que hemos </w:t>
      </w:r>
      <w:r>
        <w:rPr>
          <w:rFonts w:ascii="Garamond" w:hAnsi="Garamond"/>
        </w:rPr>
        <w:t xml:space="preserve">podido tener </w:t>
      </w:r>
      <w:r w:rsidRPr="002C646E">
        <w:rPr>
          <w:rFonts w:ascii="Garamond" w:hAnsi="Garamond"/>
        </w:rPr>
        <w:t xml:space="preserve">a la vista, con el propósito de identificar las hipótesis que se entendían cubiertas por las genéricas referencias napolitanas. Para ello, agruparemos los casos mencionados en los comentarios al Código del Reino de las Dos Sicilias, según las categorías recogidas en la legislación chilena, buscando determinar el grado de continuidad material entre las disposiciones. </w:t>
      </w:r>
    </w:p>
    <w:p w:rsidR="00E229F1" w:rsidRPr="002C646E" w:rsidRDefault="00E229F1" w:rsidP="00AC39E1">
      <w:pPr>
        <w:ind w:firstLine="142"/>
        <w:rPr>
          <w:rFonts w:ascii="Garamond" w:hAnsi="Garamond"/>
        </w:rPr>
      </w:pPr>
      <w:r w:rsidRPr="002C646E">
        <w:rPr>
          <w:rFonts w:ascii="Garamond" w:hAnsi="Garamond"/>
        </w:rPr>
        <w:t>De esta forma, las “circunstancias personales” napolitanas se entendían comprensivas de algunas hipótesis que es posible asociar a nuestras “circunstancias que consisten en la disp</w:t>
      </w:r>
      <w:r>
        <w:rPr>
          <w:rFonts w:ascii="Garamond" w:hAnsi="Garamond"/>
        </w:rPr>
        <w:t xml:space="preserve">osición moral del delincuente”, como </w:t>
      </w:r>
      <w:r w:rsidRPr="002C646E">
        <w:rPr>
          <w:rFonts w:ascii="Garamond" w:hAnsi="Garamond"/>
        </w:rPr>
        <w:t>la demencia,</w:t>
      </w:r>
      <w:r w:rsidRPr="002C646E">
        <w:rPr>
          <w:rStyle w:val="Refdenotaalpie"/>
          <w:rFonts w:ascii="Garamond" w:hAnsi="Garamond"/>
        </w:rPr>
        <w:t xml:space="preserve"> </w:t>
      </w:r>
      <w:r>
        <w:rPr>
          <w:rFonts w:ascii="Garamond" w:hAnsi="Garamond"/>
        </w:rPr>
        <w:t>e</w:t>
      </w:r>
      <w:r w:rsidRPr="002C646E">
        <w:rPr>
          <w:rFonts w:ascii="Garamond" w:hAnsi="Garamond"/>
        </w:rPr>
        <w:t>l estado de error y la coacción.</w:t>
      </w:r>
      <w:r w:rsidRPr="002C646E">
        <w:rPr>
          <w:rStyle w:val="Refdenotaalpie"/>
          <w:rFonts w:ascii="Garamond" w:hAnsi="Garamond"/>
        </w:rPr>
        <w:footnoteReference w:id="60"/>
      </w:r>
      <w:r w:rsidRPr="002C646E">
        <w:rPr>
          <w:rFonts w:ascii="Garamond" w:hAnsi="Garamond"/>
        </w:rPr>
        <w:t xml:space="preserve"> Por otro lado, bajo la idea de “circunstancias que consisten en las relaciones particulares del delincuente con el ofendido”, que emplea nuestro artículo 64, podemos ubicar las referencias de los comentarios </w:t>
      </w:r>
      <w:r w:rsidRPr="002C646E">
        <w:rPr>
          <w:rFonts w:ascii="Garamond" w:hAnsi="Garamond"/>
        </w:rPr>
        <w:lastRenderedPageBreak/>
        <w:t>napolitanos a la calidad de padre, marido y hermano,</w:t>
      </w:r>
      <w:bookmarkStart w:id="21" w:name="_Ref7372387"/>
      <w:r w:rsidRPr="002C646E">
        <w:rPr>
          <w:rStyle w:val="Refdenotaalpie"/>
          <w:rFonts w:ascii="Garamond" w:hAnsi="Garamond"/>
        </w:rPr>
        <w:footnoteReference w:id="61"/>
      </w:r>
      <w:bookmarkEnd w:id="21"/>
      <w:r w:rsidRPr="002C646E">
        <w:rPr>
          <w:rFonts w:ascii="Garamond" w:hAnsi="Garamond"/>
        </w:rPr>
        <w:t xml:space="preserve"> de doméstico,</w:t>
      </w:r>
      <w:bookmarkStart w:id="22" w:name="_Ref7377654"/>
      <w:r w:rsidRPr="002C646E">
        <w:rPr>
          <w:rStyle w:val="Refdenotaalpie"/>
          <w:rFonts w:ascii="Garamond" w:hAnsi="Garamond"/>
        </w:rPr>
        <w:footnoteReference w:id="62"/>
      </w:r>
      <w:bookmarkEnd w:id="22"/>
      <w:r w:rsidRPr="002C646E">
        <w:rPr>
          <w:rFonts w:ascii="Garamond" w:hAnsi="Garamond"/>
        </w:rPr>
        <w:t xml:space="preserve"> de posadero y de guardián.</w:t>
      </w:r>
      <w:r w:rsidRPr="002C646E">
        <w:rPr>
          <w:rStyle w:val="Refdenotaalpie"/>
          <w:rFonts w:ascii="Garamond" w:hAnsi="Garamond"/>
        </w:rPr>
        <w:footnoteReference w:id="63"/>
      </w:r>
      <w:r w:rsidRPr="002C646E">
        <w:rPr>
          <w:rFonts w:ascii="Garamond" w:hAnsi="Garamond"/>
        </w:rPr>
        <w:t xml:space="preserve"> Asimismo, podría considerarse que consiste en una relación particular del delincuente con el ofendido el carácter de empleado o funcionario público, que también recogen los comentarios al Código del Reino de las Dos Sicilias.</w:t>
      </w:r>
      <w:r w:rsidRPr="002C646E">
        <w:rPr>
          <w:rStyle w:val="Refdenotaalpie"/>
          <w:rFonts w:ascii="Garamond" w:hAnsi="Garamond"/>
        </w:rPr>
        <w:footnoteReference w:id="64"/>
      </w:r>
      <w:r>
        <w:rPr>
          <w:rFonts w:ascii="Garamond" w:hAnsi="Garamond"/>
        </w:rPr>
        <w:t xml:space="preserve"> Concluyendo</w:t>
      </w:r>
      <w:r w:rsidRPr="002C646E">
        <w:rPr>
          <w:rFonts w:ascii="Garamond" w:hAnsi="Garamond"/>
        </w:rPr>
        <w:t xml:space="preserve"> con las circunstancias personales, los comentarios a la legislación napolitana </w:t>
      </w:r>
      <w:r>
        <w:rPr>
          <w:rFonts w:ascii="Garamond" w:hAnsi="Garamond"/>
        </w:rPr>
        <w:t>ofrecen</w:t>
      </w:r>
      <w:r w:rsidRPr="002C646E">
        <w:rPr>
          <w:rFonts w:ascii="Garamond" w:hAnsi="Garamond"/>
        </w:rPr>
        <w:t xml:space="preserve"> ejemplos que, sin corresponderse con ninguna de las categorías anteriores, pudieran incardinarse en nuestra cláusula de recogida (“otra causa personal”)</w:t>
      </w:r>
      <w:r>
        <w:rPr>
          <w:rFonts w:ascii="Garamond" w:hAnsi="Garamond"/>
        </w:rPr>
        <w:t xml:space="preserve">, como son </w:t>
      </w:r>
      <w:r w:rsidRPr="002C646E">
        <w:rPr>
          <w:rFonts w:ascii="Garamond" w:hAnsi="Garamond"/>
        </w:rPr>
        <w:t>la edad,</w:t>
      </w:r>
      <w:r w:rsidRPr="002C646E">
        <w:rPr>
          <w:rStyle w:val="Refdenotaalpie"/>
          <w:rFonts w:ascii="Garamond" w:hAnsi="Garamond"/>
        </w:rPr>
        <w:footnoteReference w:id="65"/>
      </w:r>
      <w:r w:rsidRPr="002C646E">
        <w:rPr>
          <w:rFonts w:ascii="Garamond" w:hAnsi="Garamond"/>
        </w:rPr>
        <w:t xml:space="preserve"> la reiteración y la reincidencia.</w:t>
      </w:r>
      <w:r w:rsidRPr="002C646E">
        <w:rPr>
          <w:rStyle w:val="Refdenotaalpie"/>
          <w:rFonts w:ascii="Garamond" w:hAnsi="Garamond"/>
        </w:rPr>
        <w:footnoteReference w:id="66"/>
      </w:r>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Por su parte, el lugar y el tiempo</w:t>
      </w:r>
      <w:r w:rsidRPr="002C646E">
        <w:rPr>
          <w:rStyle w:val="Refdenotaalpie"/>
          <w:rFonts w:ascii="Garamond" w:hAnsi="Garamond"/>
        </w:rPr>
        <w:footnoteReference w:id="67"/>
      </w:r>
      <w:r w:rsidRPr="002C646E">
        <w:rPr>
          <w:rFonts w:ascii="Garamond" w:hAnsi="Garamond"/>
        </w:rPr>
        <w:t xml:space="preserve"> incluidos en los comentarios al Código napolitano como circunstancias “materiales” pueden adscribirse a la categoría </w:t>
      </w:r>
      <w:r>
        <w:rPr>
          <w:rFonts w:ascii="Garamond" w:hAnsi="Garamond"/>
        </w:rPr>
        <w:t>formada</w:t>
      </w:r>
      <w:r w:rsidRPr="002C646E">
        <w:rPr>
          <w:rFonts w:ascii="Garamond" w:hAnsi="Garamond"/>
        </w:rPr>
        <w:t xml:space="preserve"> de aquellas que “consisten en la ejecución material del hecho”. Asimismo, los comentarios también hacen mención a los medios,</w:t>
      </w:r>
      <w:r w:rsidRPr="002C646E">
        <w:rPr>
          <w:rStyle w:val="Refdenotaalpie"/>
          <w:rFonts w:ascii="Garamond" w:hAnsi="Garamond"/>
        </w:rPr>
        <w:footnoteReference w:id="68"/>
      </w:r>
      <w:r w:rsidRPr="002C646E">
        <w:rPr>
          <w:rFonts w:ascii="Garamond" w:hAnsi="Garamond"/>
        </w:rPr>
        <w:t xml:space="preserve"> criterio que explícitamente recogió el legislador español mediante la referencia a las “circunstancias que consistan en los medios empleados” para realizar el hecho. Finalmente, nos parece difícil reconducir la gravedad del daño,</w:t>
      </w:r>
      <w:r w:rsidRPr="002C646E">
        <w:rPr>
          <w:rStyle w:val="Refdenotaalpie"/>
          <w:rFonts w:ascii="Garamond" w:hAnsi="Garamond"/>
        </w:rPr>
        <w:footnoteReference w:id="69"/>
      </w:r>
      <w:r w:rsidRPr="002C646E">
        <w:rPr>
          <w:rFonts w:ascii="Garamond" w:hAnsi="Garamond"/>
        </w:rPr>
        <w:t xml:space="preserve"> que figura en comentarios al Código napolitano, a alguna de las especies contempladas en nuestro artículo 64. </w:t>
      </w:r>
    </w:p>
    <w:p w:rsidR="00E229F1" w:rsidRDefault="00E229F1" w:rsidP="00AC39E1">
      <w:pPr>
        <w:ind w:firstLine="142"/>
        <w:rPr>
          <w:rFonts w:ascii="Garamond" w:hAnsi="Garamond"/>
        </w:rPr>
      </w:pPr>
    </w:p>
    <w:p w:rsidR="00E229F1" w:rsidRPr="008D2F2B" w:rsidRDefault="00E229F1" w:rsidP="00AC39E1">
      <w:pPr>
        <w:ind w:firstLine="142"/>
        <w:rPr>
          <w:rFonts w:ascii="Garamond" w:hAnsi="Garamond"/>
        </w:rPr>
      </w:pPr>
      <w:r>
        <w:rPr>
          <w:rFonts w:ascii="Garamond" w:hAnsi="Garamond"/>
        </w:rPr>
        <w:t>2</w:t>
      </w:r>
      <w:r w:rsidRPr="008D2F2B">
        <w:rPr>
          <w:rFonts w:ascii="Garamond" w:hAnsi="Garamond"/>
        </w:rPr>
        <w:t xml:space="preserve">. </w:t>
      </w:r>
      <w:r w:rsidRPr="0048109E">
        <w:rPr>
          <w:rFonts w:ascii="Garamond" w:hAnsi="Garamond"/>
          <w:i/>
        </w:rPr>
        <w:t>Los antecedentes históricos de las reglas napolitanas</w:t>
      </w:r>
    </w:p>
    <w:p w:rsidR="00E229F1" w:rsidRPr="002C646E" w:rsidRDefault="001A6DF4" w:rsidP="00AC39E1">
      <w:pPr>
        <w:ind w:firstLine="142"/>
        <w:rPr>
          <w:rFonts w:ascii="Garamond" w:hAnsi="Garamond"/>
        </w:rPr>
      </w:pPr>
      <w:r>
        <w:rPr>
          <w:rFonts w:ascii="Garamond" w:hAnsi="Garamond"/>
        </w:rPr>
        <w:t>En cuanto a los antecedentes históricos de esta regulación napolitana, v</w:t>
      </w:r>
      <w:r w:rsidR="00E229F1">
        <w:rPr>
          <w:rFonts w:ascii="Garamond" w:hAnsi="Garamond"/>
        </w:rPr>
        <w:t xml:space="preserve">arias </w:t>
      </w:r>
      <w:r>
        <w:rPr>
          <w:rFonts w:ascii="Garamond" w:hAnsi="Garamond"/>
        </w:rPr>
        <w:t xml:space="preserve">son las </w:t>
      </w:r>
      <w:r w:rsidR="00E229F1">
        <w:rPr>
          <w:rFonts w:ascii="Garamond" w:hAnsi="Garamond"/>
        </w:rPr>
        <w:t xml:space="preserve">consideraciones </w:t>
      </w:r>
      <w:r>
        <w:rPr>
          <w:rFonts w:ascii="Garamond" w:hAnsi="Garamond"/>
        </w:rPr>
        <w:t xml:space="preserve">que </w:t>
      </w:r>
      <w:r w:rsidR="00E229F1">
        <w:rPr>
          <w:rFonts w:ascii="Garamond" w:hAnsi="Garamond"/>
        </w:rPr>
        <w:t>dirigen</w:t>
      </w:r>
      <w:r w:rsidR="00E229F1" w:rsidRPr="001C79BE">
        <w:rPr>
          <w:rFonts w:ascii="Garamond" w:hAnsi="Garamond"/>
        </w:rPr>
        <w:t xml:space="preserve"> </w:t>
      </w:r>
      <w:r w:rsidR="00E229F1">
        <w:rPr>
          <w:rFonts w:ascii="Garamond" w:hAnsi="Garamond"/>
        </w:rPr>
        <w:t xml:space="preserve">hacia el derecho romano. En primer lugar, esta conclusión es posible porque </w:t>
      </w:r>
      <w:r w:rsidR="00E229F1" w:rsidRPr="00C23226">
        <w:rPr>
          <w:rFonts w:ascii="Garamond" w:hAnsi="Garamond"/>
        </w:rPr>
        <w:t>e</w:t>
      </w:r>
      <w:r w:rsidR="00E229F1">
        <w:rPr>
          <w:rFonts w:ascii="Garamond" w:hAnsi="Garamond"/>
        </w:rPr>
        <w:t xml:space="preserve">sta materia </w:t>
      </w:r>
      <w:r w:rsidR="00E229F1" w:rsidRPr="00C23226">
        <w:rPr>
          <w:rFonts w:ascii="Garamond" w:hAnsi="Garamond"/>
        </w:rPr>
        <w:t>escap</w:t>
      </w:r>
      <w:r w:rsidR="00E229F1">
        <w:rPr>
          <w:rFonts w:ascii="Garamond" w:hAnsi="Garamond"/>
        </w:rPr>
        <w:t>ó</w:t>
      </w:r>
      <w:r w:rsidR="00E229F1" w:rsidRPr="00C23226">
        <w:rPr>
          <w:rFonts w:ascii="Garamond" w:hAnsi="Garamond"/>
        </w:rPr>
        <w:t xml:space="preserve"> a las imbricaciones que unen </w:t>
      </w:r>
      <w:r w:rsidR="00E229F1">
        <w:rPr>
          <w:rFonts w:ascii="Garamond" w:hAnsi="Garamond"/>
        </w:rPr>
        <w:t xml:space="preserve">a la legislación napolitana con el </w:t>
      </w:r>
      <w:r w:rsidR="00E229F1" w:rsidRPr="00C23226">
        <w:rPr>
          <w:rFonts w:ascii="Garamond" w:hAnsi="Garamond"/>
        </w:rPr>
        <w:t>Código Penal francés de 18</w:t>
      </w:r>
      <w:r w:rsidR="00E229F1">
        <w:rPr>
          <w:rFonts w:ascii="Garamond" w:hAnsi="Garamond"/>
        </w:rPr>
        <w:t>10,</w:t>
      </w:r>
      <w:r w:rsidR="00E229F1" w:rsidRPr="009013E1">
        <w:rPr>
          <w:rFonts w:ascii="Garamond" w:hAnsi="Garamond"/>
        </w:rPr>
        <w:t xml:space="preserve"> </w:t>
      </w:r>
      <w:r w:rsidR="00E229F1">
        <w:rPr>
          <w:rFonts w:ascii="Garamond" w:hAnsi="Garamond"/>
        </w:rPr>
        <w:t xml:space="preserve">el </w:t>
      </w:r>
      <w:r w:rsidR="00E229F1" w:rsidRPr="002C646E">
        <w:rPr>
          <w:rFonts w:ascii="Garamond" w:hAnsi="Garamond"/>
        </w:rPr>
        <w:t xml:space="preserve">que en 1812 recibió </w:t>
      </w:r>
      <w:bookmarkStart w:id="23" w:name="_Ref519699776"/>
      <w:r w:rsidR="00E229F1" w:rsidRPr="002C646E">
        <w:rPr>
          <w:rFonts w:ascii="Garamond" w:hAnsi="Garamond"/>
        </w:rPr>
        <w:t xml:space="preserve">aplicación en </w:t>
      </w:r>
      <w:r w:rsidR="00E229F1">
        <w:rPr>
          <w:rFonts w:ascii="Garamond" w:hAnsi="Garamond"/>
        </w:rPr>
        <w:t>Nápoles.</w:t>
      </w:r>
      <w:r w:rsidR="00E229F1" w:rsidRPr="002C646E">
        <w:rPr>
          <w:rStyle w:val="Refdenotaalpie"/>
          <w:rFonts w:ascii="Garamond" w:hAnsi="Garamond"/>
        </w:rPr>
        <w:footnoteReference w:id="70"/>
      </w:r>
      <w:bookmarkEnd w:id="23"/>
      <w:r w:rsidR="00E229F1">
        <w:rPr>
          <w:rFonts w:ascii="Garamond" w:hAnsi="Garamond"/>
        </w:rPr>
        <w:t xml:space="preserve"> Así, Nicolini afirma que, aunque el Código francés carecía de una regla como el artículo 77, su lógica fue aplicada durante la vigencia de aquella legislación en Nápoles, sentando las bases de dicha disposición.</w:t>
      </w:r>
      <w:bookmarkStart w:id="24" w:name="_Ref7016260"/>
      <w:r w:rsidR="00E229F1">
        <w:rPr>
          <w:rStyle w:val="Refdenotaalpie"/>
          <w:rFonts w:ascii="Garamond" w:hAnsi="Garamond"/>
        </w:rPr>
        <w:footnoteReference w:id="71"/>
      </w:r>
      <w:bookmarkEnd w:id="24"/>
      <w:r w:rsidR="00E229F1">
        <w:rPr>
          <w:rFonts w:ascii="Garamond" w:hAnsi="Garamond"/>
        </w:rPr>
        <w:t xml:space="preserve"> Saluto, por su parte, da cuenta de un caso en que en 1813, estando vigente un “código extranjero” que no contenía ninguna disposición al respecto, se resolvió que la calidad de doméstico era personal y no comunicable al cómplice.</w:t>
      </w:r>
      <w:bookmarkStart w:id="25" w:name="_Ref7016261"/>
      <w:r w:rsidR="00E229F1">
        <w:rPr>
          <w:rStyle w:val="Refdenotaalpie"/>
          <w:rFonts w:ascii="Garamond" w:hAnsi="Garamond"/>
        </w:rPr>
        <w:footnoteReference w:id="72"/>
      </w:r>
      <w:bookmarkEnd w:id="25"/>
      <w:r w:rsidR="00E229F1">
        <w:rPr>
          <w:rFonts w:ascii="Garamond" w:hAnsi="Garamond"/>
        </w:rPr>
        <w:t xml:space="preserve"> De un modo similar, c</w:t>
      </w:r>
      <w:r w:rsidR="00E229F1" w:rsidRPr="002C646E">
        <w:rPr>
          <w:rFonts w:ascii="Garamond" w:hAnsi="Garamond"/>
        </w:rPr>
        <w:t>omentando el artículo 76, Arabia sostiene que estas reglas no se encontraban en la legislación francesa</w:t>
      </w:r>
      <w:r w:rsidR="00E229F1">
        <w:rPr>
          <w:rFonts w:ascii="Garamond" w:hAnsi="Garamond"/>
        </w:rPr>
        <w:t>,</w:t>
      </w:r>
      <w:r w:rsidR="00E229F1" w:rsidRPr="002C646E">
        <w:rPr>
          <w:rFonts w:ascii="Garamond" w:hAnsi="Garamond"/>
        </w:rPr>
        <w:t xml:space="preserve"> tratándose de una de las innovaciones que introdujo el legislador napolitano.</w:t>
      </w:r>
      <w:bookmarkStart w:id="26" w:name="_Ref519700441"/>
      <w:r w:rsidR="00E229F1" w:rsidRPr="002C646E">
        <w:rPr>
          <w:rStyle w:val="Refdenotaalpie"/>
          <w:rFonts w:ascii="Garamond" w:hAnsi="Garamond"/>
        </w:rPr>
        <w:footnoteReference w:id="73"/>
      </w:r>
      <w:bookmarkEnd w:id="26"/>
      <w:r w:rsidR="00E229F1">
        <w:rPr>
          <w:rFonts w:ascii="Garamond" w:hAnsi="Garamond"/>
        </w:rPr>
        <w:t xml:space="preserve"> </w:t>
      </w:r>
      <w:r>
        <w:rPr>
          <w:rFonts w:ascii="Garamond" w:hAnsi="Garamond"/>
        </w:rPr>
        <w:t>Este autor</w:t>
      </w:r>
      <w:r w:rsidR="00E229F1">
        <w:rPr>
          <w:rFonts w:ascii="Garamond" w:hAnsi="Garamond"/>
        </w:rPr>
        <w:t xml:space="preserve"> agrega que, durante la vigencia </w:t>
      </w:r>
      <w:r w:rsidR="00E229F1">
        <w:rPr>
          <w:rFonts w:ascii="Garamond" w:hAnsi="Garamond"/>
        </w:rPr>
        <w:lastRenderedPageBreak/>
        <w:t>d</w:t>
      </w:r>
      <w:r w:rsidR="00E229F1" w:rsidRPr="002C646E">
        <w:rPr>
          <w:rFonts w:ascii="Garamond" w:hAnsi="Garamond"/>
        </w:rPr>
        <w:t>el Código francés</w:t>
      </w:r>
      <w:r w:rsidR="00E229F1">
        <w:rPr>
          <w:rFonts w:ascii="Garamond" w:hAnsi="Garamond"/>
        </w:rPr>
        <w:t xml:space="preserve"> y </w:t>
      </w:r>
      <w:r w:rsidR="00E229F1" w:rsidRPr="002C646E">
        <w:rPr>
          <w:rFonts w:ascii="Garamond" w:hAnsi="Garamond"/>
        </w:rPr>
        <w:t xml:space="preserve">a pesar del silencio de esa ley, la jurisprudencia napolitana no habría encontrado obstáculo para dar aplicación a </w:t>
      </w:r>
      <w:r w:rsidR="00E229F1">
        <w:rPr>
          <w:rFonts w:ascii="Garamond" w:hAnsi="Garamond"/>
        </w:rPr>
        <w:t xml:space="preserve">lo que califica de </w:t>
      </w:r>
      <w:r w:rsidR="00E229F1" w:rsidRPr="002C646E">
        <w:rPr>
          <w:rFonts w:ascii="Garamond" w:hAnsi="Garamond"/>
        </w:rPr>
        <w:t>“principio de razón y equidad”.</w:t>
      </w:r>
      <w:bookmarkStart w:id="27" w:name="_Ref7015970"/>
      <w:r w:rsidR="00E229F1" w:rsidRPr="002C646E">
        <w:rPr>
          <w:rStyle w:val="Refdenotaalpie"/>
          <w:rFonts w:ascii="Garamond" w:hAnsi="Garamond"/>
        </w:rPr>
        <w:footnoteReference w:id="74"/>
      </w:r>
      <w:bookmarkEnd w:id="27"/>
      <w:r w:rsidR="00E229F1" w:rsidRPr="002C646E">
        <w:rPr>
          <w:rFonts w:ascii="Garamond" w:hAnsi="Garamond"/>
        </w:rPr>
        <w:t xml:space="preserve"> </w:t>
      </w:r>
    </w:p>
    <w:p w:rsidR="00E229F1" w:rsidRDefault="00E229F1" w:rsidP="00AC39E1">
      <w:pPr>
        <w:ind w:firstLine="142"/>
        <w:rPr>
          <w:rFonts w:ascii="Garamond" w:hAnsi="Garamond"/>
        </w:rPr>
      </w:pPr>
      <w:r>
        <w:rPr>
          <w:rFonts w:ascii="Garamond" w:hAnsi="Garamond"/>
        </w:rPr>
        <w:t>Por otro lado, junto a las mencionadas tradiciones italianas y, en particular, napolitana,</w:t>
      </w:r>
      <w:r>
        <w:rPr>
          <w:rStyle w:val="Refdenotaalpie"/>
          <w:rFonts w:ascii="Garamond" w:hAnsi="Garamond"/>
        </w:rPr>
        <w:footnoteReference w:id="75"/>
      </w:r>
      <w:r>
        <w:rPr>
          <w:rFonts w:ascii="Garamond" w:hAnsi="Garamond"/>
        </w:rPr>
        <w:t xml:space="preserve"> la influencia del derecho romano habría contribuido a dar al Código de las Dos Sicilias su fisonomía propia.</w:t>
      </w:r>
      <w:r>
        <w:rPr>
          <w:rStyle w:val="Refdenotaalpie"/>
          <w:rFonts w:ascii="Garamond" w:hAnsi="Garamond"/>
        </w:rPr>
        <w:footnoteReference w:id="76"/>
      </w:r>
      <w:r>
        <w:rPr>
          <w:rFonts w:ascii="Garamond" w:hAnsi="Garamond"/>
        </w:rPr>
        <w:t xml:space="preserve"> Evidencia de esta influencia puede encontrarse en el amplio manejo que exhibe Nicolini –considerado el principal autor de dicho código– a través de constantes referencias al derecho romano.</w:t>
      </w:r>
      <w:r>
        <w:rPr>
          <w:rStyle w:val="Refdenotaalpie"/>
          <w:rFonts w:ascii="Garamond" w:hAnsi="Garamond"/>
        </w:rPr>
        <w:footnoteReference w:id="77"/>
      </w:r>
      <w:r>
        <w:rPr>
          <w:rFonts w:ascii="Garamond" w:hAnsi="Garamond"/>
        </w:rPr>
        <w:t xml:space="preserve"> </w:t>
      </w:r>
    </w:p>
    <w:p w:rsidR="00E229F1" w:rsidRDefault="00E229F1" w:rsidP="00AC39E1">
      <w:pPr>
        <w:ind w:firstLine="142"/>
        <w:rPr>
          <w:rFonts w:ascii="Garamond" w:hAnsi="Garamond"/>
        </w:rPr>
      </w:pPr>
      <w:r>
        <w:rPr>
          <w:rFonts w:ascii="Garamond" w:hAnsi="Garamond"/>
        </w:rPr>
        <w:t xml:space="preserve">Por ello, no es </w:t>
      </w:r>
      <w:r w:rsidR="001A6DF4">
        <w:rPr>
          <w:rFonts w:ascii="Garamond" w:hAnsi="Garamond"/>
        </w:rPr>
        <w:t xml:space="preserve">en </w:t>
      </w:r>
      <w:r>
        <w:rPr>
          <w:rFonts w:ascii="Garamond" w:hAnsi="Garamond"/>
        </w:rPr>
        <w:t>absoluto una sorpresa que, entre los antecedentes citados por los comentaristas del Código de las Dos Sicilias</w:t>
      </w:r>
      <w:r w:rsidR="001A6DF4">
        <w:rPr>
          <w:rFonts w:ascii="Garamond" w:hAnsi="Garamond"/>
        </w:rPr>
        <w:t xml:space="preserve"> al analizar las reglas en estudio</w:t>
      </w:r>
      <w:r>
        <w:rPr>
          <w:rFonts w:ascii="Garamond" w:hAnsi="Garamond"/>
        </w:rPr>
        <w:t>, se encuentren dos que remitan explícitamente a fuentes del derecho romano. Así</w:t>
      </w:r>
      <w:r w:rsidR="001A6DF4">
        <w:rPr>
          <w:rFonts w:ascii="Garamond" w:hAnsi="Garamond"/>
        </w:rPr>
        <w:t>,</w:t>
      </w:r>
      <w:r w:rsidRPr="002C646E">
        <w:rPr>
          <w:rFonts w:ascii="Garamond" w:hAnsi="Garamond"/>
        </w:rPr>
        <w:t xml:space="preserve"> Arabia agrega que el principio habría sido “conocido y admitido en las leyes de Roma”,</w:t>
      </w:r>
      <w:bookmarkStart w:id="28" w:name="_Ref7016273"/>
      <w:r w:rsidRPr="002C646E">
        <w:rPr>
          <w:rStyle w:val="Refdenotaalpie"/>
          <w:rFonts w:ascii="Garamond" w:hAnsi="Garamond"/>
        </w:rPr>
        <w:footnoteReference w:id="78"/>
      </w:r>
      <w:bookmarkEnd w:id="28"/>
      <w:r w:rsidRPr="002C646E">
        <w:rPr>
          <w:rFonts w:ascii="Garamond" w:hAnsi="Garamond"/>
        </w:rPr>
        <w:t xml:space="preserve"> citando dos pasajes del Digesto,</w:t>
      </w:r>
      <w:r>
        <w:rPr>
          <w:rStyle w:val="Refdenotaalpie"/>
          <w:rFonts w:ascii="Garamond" w:hAnsi="Garamond"/>
        </w:rPr>
        <w:footnoteReference w:id="79"/>
      </w:r>
      <w:r w:rsidRPr="002C646E">
        <w:rPr>
          <w:rFonts w:ascii="Garamond" w:hAnsi="Garamond"/>
        </w:rPr>
        <w:t xml:space="preserve"> </w:t>
      </w:r>
      <w:r>
        <w:rPr>
          <w:rFonts w:ascii="Garamond" w:hAnsi="Garamond"/>
        </w:rPr>
        <w:t>los</w:t>
      </w:r>
      <w:r w:rsidRPr="002C646E">
        <w:rPr>
          <w:rFonts w:ascii="Garamond" w:hAnsi="Garamond"/>
        </w:rPr>
        <w:t xml:space="preserve"> que serán objeto de análisis en el acápite siguiente.</w:t>
      </w:r>
      <w:bookmarkStart w:id="29" w:name="_Ref7016279"/>
      <w:r w:rsidRPr="002C646E">
        <w:rPr>
          <w:rStyle w:val="Refdenotaalpie"/>
          <w:rFonts w:ascii="Garamond" w:hAnsi="Garamond"/>
        </w:rPr>
        <w:footnoteReference w:id="80"/>
      </w:r>
      <w:bookmarkStart w:id="30" w:name="_Ref7016284"/>
      <w:bookmarkEnd w:id="29"/>
      <w:r w:rsidR="009F0159" w:rsidRPr="009F0159">
        <w:rPr>
          <w:rFonts w:ascii="Garamond" w:hAnsi="Garamond"/>
          <w:vertAlign w:val="superscript"/>
        </w:rPr>
        <w:t>-</w:t>
      </w:r>
      <w:r>
        <w:rPr>
          <w:rStyle w:val="Refdenotaalpie"/>
          <w:rFonts w:ascii="Garamond" w:hAnsi="Garamond"/>
        </w:rPr>
        <w:footnoteReference w:id="81"/>
      </w:r>
      <w:bookmarkEnd w:id="30"/>
      <w:r>
        <w:rPr>
          <w:rFonts w:ascii="Garamond" w:hAnsi="Garamond"/>
        </w:rPr>
        <w:t xml:space="preserve"> Por su parte, Pessina también invoca antecedentes romanos, sosteniendo que la distinción entre circunstancias objetivas y subjetivas era conocida en el derecho romano.</w:t>
      </w:r>
      <w:bookmarkStart w:id="31" w:name="_Ref7015341"/>
      <w:r w:rsidRPr="002C646E">
        <w:rPr>
          <w:rStyle w:val="Refdenotaalpie"/>
          <w:rFonts w:ascii="Garamond" w:hAnsi="Garamond"/>
        </w:rPr>
        <w:footnoteReference w:id="82"/>
      </w:r>
      <w:bookmarkEnd w:id="31"/>
    </w:p>
    <w:p w:rsidR="00E229F1" w:rsidRPr="002C646E" w:rsidRDefault="00E229F1" w:rsidP="00AC39E1">
      <w:pPr>
        <w:ind w:firstLine="142"/>
        <w:rPr>
          <w:rFonts w:ascii="Garamond" w:hAnsi="Garamond"/>
        </w:rPr>
      </w:pPr>
    </w:p>
    <w:p w:rsidR="00E229F1" w:rsidRPr="0048109E" w:rsidRDefault="00E229F1" w:rsidP="00E229F1">
      <w:pPr>
        <w:pStyle w:val="Prrafodelista"/>
        <w:tabs>
          <w:tab w:val="left" w:pos="284"/>
        </w:tabs>
        <w:ind w:left="0"/>
        <w:jc w:val="center"/>
        <w:rPr>
          <w:rFonts w:ascii="Garamond" w:hAnsi="Garamond"/>
          <w:smallCaps/>
        </w:rPr>
      </w:pPr>
      <w:r w:rsidRPr="008C53C1">
        <w:rPr>
          <w:rFonts w:ascii="Garamond" w:hAnsi="Garamond"/>
          <w:smallCaps/>
        </w:rPr>
        <w:t>IV. Antecedentes en el derecho romano</w:t>
      </w:r>
    </w:p>
    <w:p w:rsidR="00E229F1" w:rsidRPr="002C646E" w:rsidRDefault="00E229F1" w:rsidP="00AC39E1">
      <w:pPr>
        <w:ind w:firstLine="142"/>
        <w:rPr>
          <w:rFonts w:ascii="Garamond" w:hAnsi="Garamond"/>
        </w:rPr>
      </w:pPr>
    </w:p>
    <w:p w:rsidR="00E229F1" w:rsidRPr="008D2F2B" w:rsidRDefault="00E229F1" w:rsidP="00AC39E1">
      <w:pPr>
        <w:pStyle w:val="Prrafodelista"/>
        <w:ind w:left="0" w:firstLine="142"/>
        <w:rPr>
          <w:rFonts w:ascii="Garamond" w:hAnsi="Garamond"/>
        </w:rPr>
      </w:pPr>
      <w:r>
        <w:rPr>
          <w:rFonts w:ascii="Garamond" w:hAnsi="Garamond"/>
        </w:rPr>
        <w:t>1.</w:t>
      </w:r>
      <w:r w:rsidRPr="008D2F2B">
        <w:rPr>
          <w:rFonts w:ascii="Garamond" w:hAnsi="Garamond"/>
        </w:rPr>
        <w:t xml:space="preserve"> </w:t>
      </w:r>
      <w:r w:rsidRPr="0048109E">
        <w:rPr>
          <w:rFonts w:ascii="Garamond" w:hAnsi="Garamond"/>
          <w:i/>
        </w:rPr>
        <w:t>La comunicabilidad en el derecho romano en general</w:t>
      </w:r>
    </w:p>
    <w:p w:rsidR="00E229F1" w:rsidRDefault="00E229F1" w:rsidP="00AC39E1">
      <w:pPr>
        <w:ind w:firstLine="142"/>
        <w:rPr>
          <w:rFonts w:ascii="Garamond" w:hAnsi="Garamond"/>
        </w:rPr>
      </w:pPr>
      <w:r>
        <w:rPr>
          <w:rFonts w:ascii="Garamond" w:hAnsi="Garamond"/>
        </w:rPr>
        <w:t>El problema de la comunicabilidad se encuentra resuelto en distintas fuentes romanas de manera diversa</w:t>
      </w:r>
      <w:r w:rsidRPr="00B176F2">
        <w:rPr>
          <w:rFonts w:ascii="Garamond" w:hAnsi="Garamond"/>
        </w:rPr>
        <w:t>.</w:t>
      </w:r>
      <w:r>
        <w:rPr>
          <w:rStyle w:val="Refdenotaalpie"/>
          <w:rFonts w:ascii="Garamond" w:hAnsi="Garamond"/>
        </w:rPr>
        <w:footnoteReference w:id="83"/>
      </w:r>
      <w:r>
        <w:rPr>
          <w:rFonts w:ascii="Garamond" w:hAnsi="Garamond"/>
        </w:rPr>
        <w:t xml:space="preserve"> En algunos supuestos</w:t>
      </w:r>
      <w:r w:rsidR="009F0159">
        <w:rPr>
          <w:rFonts w:ascii="Garamond" w:hAnsi="Garamond"/>
        </w:rPr>
        <w:t>,</w:t>
      </w:r>
      <w:r>
        <w:rPr>
          <w:rFonts w:ascii="Garamond" w:hAnsi="Garamond"/>
        </w:rPr>
        <w:t xml:space="preserve"> extienden el efecto de la cualidad personal no sólo a quien la ostenta, sino que también a los demás intervinientes. Tal es el caso de la Ley Pompeya de Parricidios,</w:t>
      </w:r>
      <w:r>
        <w:rPr>
          <w:rStyle w:val="Refdenotaalpie"/>
          <w:rFonts w:ascii="Garamond" w:hAnsi="Garamond"/>
        </w:rPr>
        <w:footnoteReference w:id="84"/>
      </w:r>
      <w:r>
        <w:rPr>
          <w:rFonts w:ascii="Garamond" w:hAnsi="Garamond"/>
        </w:rPr>
        <w:t xml:space="preserve"> aunque no conocemos referencias a ella en los comentarios a los artículos </w:t>
      </w:r>
      <w:r w:rsidRPr="00546F60">
        <w:rPr>
          <w:rFonts w:ascii="Garamond" w:hAnsi="Garamond"/>
        </w:rPr>
        <w:t>76</w:t>
      </w:r>
      <w:r>
        <w:rPr>
          <w:rFonts w:ascii="Garamond" w:hAnsi="Garamond"/>
        </w:rPr>
        <w:t xml:space="preserve"> y </w:t>
      </w:r>
      <w:r w:rsidRPr="00546F60">
        <w:rPr>
          <w:rFonts w:ascii="Garamond" w:hAnsi="Garamond"/>
        </w:rPr>
        <w:t>77</w:t>
      </w:r>
      <w:r>
        <w:rPr>
          <w:rFonts w:ascii="Garamond" w:hAnsi="Garamond"/>
        </w:rPr>
        <w:t xml:space="preserve"> del Código napolitano. En un contexto en que partícipes son equiparados a los autores,</w:t>
      </w:r>
      <w:bookmarkStart w:id="32" w:name="_Ref7381271"/>
      <w:r>
        <w:rPr>
          <w:rStyle w:val="Refdenotaalpie"/>
          <w:rFonts w:ascii="Garamond" w:hAnsi="Garamond"/>
        </w:rPr>
        <w:footnoteReference w:id="85"/>
      </w:r>
      <w:bookmarkEnd w:id="32"/>
      <w:r>
        <w:rPr>
          <w:rFonts w:ascii="Garamond" w:hAnsi="Garamond"/>
        </w:rPr>
        <w:t xml:space="preserve"> las fuentes romanas se plantean si la pena de parricidio debe aplicarse sólo a quien mató al ascendiente o también al partícipe, respondiendo que tanto parricidas como cómplices extraños deben castigarse con la misma pena.</w:t>
      </w:r>
      <w:r w:rsidRPr="004318C6">
        <w:rPr>
          <w:rStyle w:val="Refdenotaalpie"/>
          <w:rFonts w:ascii="Garamond" w:hAnsi="Garamond"/>
        </w:rPr>
        <w:footnoteReference w:id="86"/>
      </w:r>
      <w:r>
        <w:rPr>
          <w:rFonts w:ascii="Garamond" w:hAnsi="Garamond"/>
        </w:rPr>
        <w:t xml:space="preserve"> </w:t>
      </w:r>
    </w:p>
    <w:p w:rsidR="00E229F1" w:rsidRDefault="00E229F1" w:rsidP="00AC39E1">
      <w:pPr>
        <w:ind w:firstLine="142"/>
        <w:rPr>
          <w:rFonts w:ascii="Garamond" w:hAnsi="Garamond"/>
        </w:rPr>
      </w:pPr>
      <w:r w:rsidRPr="00537F6E">
        <w:rPr>
          <w:rFonts w:ascii="Garamond" w:hAnsi="Garamond"/>
        </w:rPr>
        <w:t xml:space="preserve">Por otro lado, las fuentes romanas contemplan hipótesis en que el efecto de una cualidad personal se reserva únicamente para aquel que la ostenta. Este es el caso de las fuentes </w:t>
      </w:r>
      <w:r>
        <w:rPr>
          <w:rFonts w:ascii="Garamond" w:hAnsi="Garamond"/>
        </w:rPr>
        <w:t>vinculadas al hurto</w:t>
      </w:r>
      <w:r w:rsidRPr="00537F6E">
        <w:rPr>
          <w:rFonts w:ascii="Garamond" w:hAnsi="Garamond"/>
        </w:rPr>
        <w:t>,</w:t>
      </w:r>
      <w:r>
        <w:rPr>
          <w:rFonts w:ascii="Garamond" w:hAnsi="Garamond"/>
        </w:rPr>
        <w:t xml:space="preserve"> que, sin ser presentadas como el antecedente de </w:t>
      </w:r>
      <w:r w:rsidRPr="002C646E">
        <w:rPr>
          <w:rFonts w:ascii="Garamond" w:hAnsi="Garamond"/>
        </w:rPr>
        <w:t>las reglas napolitanas</w:t>
      </w:r>
      <w:r>
        <w:rPr>
          <w:rFonts w:ascii="Garamond" w:hAnsi="Garamond"/>
        </w:rPr>
        <w:t xml:space="preserve">, son elevadas </w:t>
      </w:r>
      <w:r w:rsidRPr="002C646E">
        <w:rPr>
          <w:rFonts w:ascii="Garamond" w:hAnsi="Garamond"/>
        </w:rPr>
        <w:t>a la categoría de principio de razón y equidad</w:t>
      </w:r>
      <w:r>
        <w:rPr>
          <w:rFonts w:ascii="Garamond" w:hAnsi="Garamond"/>
        </w:rPr>
        <w:t>. Ellas se hacen cargo de la intervención conjunta en el hurto de personas respecto de algunas de las cuales no hay acción (el hijo, el esclavo y la mujer), concediéndola en contra de los terceros. En lo que sigue nos concentraremos en ellas, puesto que son citadas de manera específica.</w:t>
      </w:r>
      <w:r>
        <w:rPr>
          <w:rStyle w:val="Refdenotaalpie"/>
          <w:rFonts w:ascii="Garamond" w:hAnsi="Garamond"/>
        </w:rPr>
        <w:footnoteReference w:id="87"/>
      </w:r>
      <w:r>
        <w:rPr>
          <w:rFonts w:ascii="Garamond" w:hAnsi="Garamond"/>
        </w:rPr>
        <w:t xml:space="preserve"> Confirma</w:t>
      </w:r>
      <w:r w:rsidR="00413CF9">
        <w:rPr>
          <w:rFonts w:ascii="Garamond" w:hAnsi="Garamond"/>
        </w:rPr>
        <w:t>n</w:t>
      </w:r>
      <w:r>
        <w:rPr>
          <w:rFonts w:ascii="Garamond" w:hAnsi="Garamond"/>
        </w:rPr>
        <w:t xml:space="preserve"> esta opción </w:t>
      </w:r>
      <w:r w:rsidR="00413CF9">
        <w:rPr>
          <w:rFonts w:ascii="Garamond" w:hAnsi="Garamond"/>
        </w:rPr>
        <w:t>los vínculos en la literatura napolitana entre</w:t>
      </w:r>
      <w:r>
        <w:rPr>
          <w:rFonts w:ascii="Garamond" w:hAnsi="Garamond"/>
        </w:rPr>
        <w:t xml:space="preserve"> la comunicabilidad </w:t>
      </w:r>
      <w:r w:rsidR="00413CF9">
        <w:rPr>
          <w:rFonts w:ascii="Garamond" w:hAnsi="Garamond"/>
        </w:rPr>
        <w:t xml:space="preserve">y </w:t>
      </w:r>
      <w:r>
        <w:rPr>
          <w:rFonts w:ascii="Garamond" w:hAnsi="Garamond"/>
        </w:rPr>
        <w:t>las sustracciones entre parientes</w:t>
      </w:r>
      <w:r w:rsidR="003B7EB6">
        <w:rPr>
          <w:rFonts w:ascii="Garamond" w:hAnsi="Garamond"/>
        </w:rPr>
        <w:t>,</w:t>
      </w:r>
      <w:r>
        <w:rPr>
          <w:rFonts w:ascii="Garamond" w:hAnsi="Garamond"/>
        </w:rPr>
        <w:t xml:space="preserve"> </w:t>
      </w:r>
      <w:r w:rsidR="00413CF9">
        <w:rPr>
          <w:rFonts w:ascii="Garamond" w:hAnsi="Garamond"/>
        </w:rPr>
        <w:t>así como</w:t>
      </w:r>
      <w:r w:rsidR="00E93BC5">
        <w:rPr>
          <w:rFonts w:ascii="Garamond" w:hAnsi="Garamond"/>
        </w:rPr>
        <w:t xml:space="preserve"> entre</w:t>
      </w:r>
      <w:r w:rsidR="00413CF9">
        <w:rPr>
          <w:rFonts w:ascii="Garamond" w:hAnsi="Garamond"/>
        </w:rPr>
        <w:t xml:space="preserve"> </w:t>
      </w:r>
      <w:r>
        <w:rPr>
          <w:rFonts w:ascii="Garamond" w:hAnsi="Garamond"/>
        </w:rPr>
        <w:t xml:space="preserve">la coparticipación en el hurto </w:t>
      </w:r>
      <w:r w:rsidR="00413CF9">
        <w:rPr>
          <w:rFonts w:ascii="Garamond" w:hAnsi="Garamond"/>
        </w:rPr>
        <w:t xml:space="preserve">y </w:t>
      </w:r>
      <w:r w:rsidR="00E93BC5">
        <w:rPr>
          <w:rFonts w:ascii="Garamond" w:hAnsi="Garamond"/>
        </w:rPr>
        <w:t xml:space="preserve">las </w:t>
      </w:r>
      <w:r>
        <w:rPr>
          <w:rFonts w:ascii="Garamond" w:hAnsi="Garamond"/>
        </w:rPr>
        <w:t>fuentes romanas.</w:t>
      </w:r>
      <w:r>
        <w:rPr>
          <w:rStyle w:val="Refdenotaalpie"/>
          <w:rFonts w:ascii="Garamond" w:hAnsi="Garamond"/>
        </w:rPr>
        <w:footnoteReference w:id="88"/>
      </w:r>
      <w:r>
        <w:rPr>
          <w:rFonts w:ascii="Garamond" w:hAnsi="Garamond"/>
        </w:rPr>
        <w:t xml:space="preserve"> </w:t>
      </w:r>
    </w:p>
    <w:p w:rsidR="00E229F1" w:rsidRDefault="00E229F1" w:rsidP="00AC39E1">
      <w:pPr>
        <w:ind w:firstLine="142"/>
        <w:rPr>
          <w:rFonts w:ascii="Garamond" w:hAnsi="Garamond"/>
        </w:rPr>
      </w:pPr>
      <w:r>
        <w:rPr>
          <w:rFonts w:ascii="Garamond" w:hAnsi="Garamond"/>
        </w:rPr>
        <w:t>Por lo tanto, aunque los comentarios a las reglas estudiadas parecieran limitar sus referencias a fuentes roman</w:t>
      </w:r>
      <w:r w:rsidR="00331645">
        <w:rPr>
          <w:rFonts w:ascii="Garamond" w:hAnsi="Garamond"/>
        </w:rPr>
        <w:t>as</w:t>
      </w:r>
      <w:r>
        <w:rPr>
          <w:rFonts w:ascii="Garamond" w:hAnsi="Garamond"/>
        </w:rPr>
        <w:t xml:space="preserve"> que acogen la incomunicabilidad del efecto jurídico específico, que coinciden con el criterio recogido en el artículo </w:t>
      </w:r>
      <w:r w:rsidRPr="00546F60">
        <w:rPr>
          <w:rFonts w:ascii="Garamond" w:hAnsi="Garamond"/>
        </w:rPr>
        <w:t>76</w:t>
      </w:r>
      <w:r>
        <w:rPr>
          <w:rFonts w:ascii="Garamond" w:hAnsi="Garamond"/>
        </w:rPr>
        <w:t xml:space="preserve"> del Código de las Dos Sicilias, otras fuentes </w:t>
      </w:r>
      <w:r w:rsidR="003B7EB6">
        <w:rPr>
          <w:rFonts w:ascii="Garamond" w:hAnsi="Garamond"/>
        </w:rPr>
        <w:t xml:space="preserve">romanas </w:t>
      </w:r>
      <w:r>
        <w:rPr>
          <w:rFonts w:ascii="Garamond" w:hAnsi="Garamond"/>
        </w:rPr>
        <w:t xml:space="preserve">prevén el efecto contrario. Y ello ocurre respecto de circunstancias de naturaleza bastante similar </w:t>
      </w:r>
      <w:r>
        <w:rPr>
          <w:rFonts w:ascii="Garamond" w:hAnsi="Garamond"/>
        </w:rPr>
        <w:lastRenderedPageBreak/>
        <w:t xml:space="preserve">(relaciones de familia). La lógica que subyace al tratamiento del parricidio bien puede haber estado tras el artículo </w:t>
      </w:r>
      <w:r w:rsidRPr="00546F60">
        <w:rPr>
          <w:rFonts w:ascii="Garamond" w:hAnsi="Garamond"/>
        </w:rPr>
        <w:t>77</w:t>
      </w:r>
      <w:r>
        <w:rPr>
          <w:rFonts w:ascii="Garamond" w:hAnsi="Garamond"/>
        </w:rPr>
        <w:t xml:space="preserve"> del Código napolitano, tomando en consideración que </w:t>
      </w:r>
      <w:r w:rsidR="003B7EB6">
        <w:rPr>
          <w:rFonts w:ascii="Garamond" w:hAnsi="Garamond"/>
        </w:rPr>
        <w:t xml:space="preserve">esta </w:t>
      </w:r>
      <w:r>
        <w:rPr>
          <w:rFonts w:ascii="Garamond" w:hAnsi="Garamond"/>
        </w:rPr>
        <w:t xml:space="preserve">codificación es obra de una cultura jurídica imbuida </w:t>
      </w:r>
      <w:r w:rsidR="003B7EB6">
        <w:rPr>
          <w:rFonts w:ascii="Garamond" w:hAnsi="Garamond"/>
        </w:rPr>
        <w:t>en</w:t>
      </w:r>
      <w:r>
        <w:rPr>
          <w:rFonts w:ascii="Garamond" w:hAnsi="Garamond"/>
        </w:rPr>
        <w:t xml:space="preserve"> el derecho romano, el que contribuyó a forjar las particularidades de su codificación. En suma, allí donde el derecho romano reconocía hipótesis en que parecía razonable comunicar el efecto de la cualidad personal y otras en las que no, el legislador napolitano –en un esfuerzo generalizador– estableció una regla para las “circunstancias personales” (artículo </w:t>
      </w:r>
      <w:r w:rsidRPr="00546F60">
        <w:rPr>
          <w:rFonts w:ascii="Garamond" w:hAnsi="Garamond"/>
        </w:rPr>
        <w:t>76</w:t>
      </w:r>
      <w:r>
        <w:rPr>
          <w:rFonts w:ascii="Garamond" w:hAnsi="Garamond"/>
        </w:rPr>
        <w:t xml:space="preserve">) y otra para las “materiales” (artículo </w:t>
      </w:r>
      <w:r w:rsidRPr="00546F60">
        <w:rPr>
          <w:rFonts w:ascii="Garamond" w:hAnsi="Garamond"/>
        </w:rPr>
        <w:t>77</w:t>
      </w:r>
      <w:r>
        <w:rPr>
          <w:rFonts w:ascii="Garamond" w:hAnsi="Garamond"/>
        </w:rPr>
        <w:t xml:space="preserve">).  </w:t>
      </w:r>
    </w:p>
    <w:p w:rsidR="00E229F1" w:rsidRDefault="00E229F1" w:rsidP="00AC39E1">
      <w:pPr>
        <w:ind w:firstLine="142"/>
        <w:rPr>
          <w:rFonts w:ascii="Garamond" w:hAnsi="Garamond"/>
        </w:rPr>
      </w:pPr>
    </w:p>
    <w:p w:rsidR="00E229F1" w:rsidRPr="008D2F2B" w:rsidRDefault="00E229F1" w:rsidP="00AC39E1">
      <w:pPr>
        <w:pStyle w:val="Prrafodelista"/>
        <w:ind w:left="0" w:firstLine="142"/>
        <w:rPr>
          <w:rFonts w:ascii="Garamond" w:hAnsi="Garamond"/>
        </w:rPr>
      </w:pPr>
      <w:r>
        <w:rPr>
          <w:rFonts w:ascii="Garamond" w:hAnsi="Garamond"/>
        </w:rPr>
        <w:t>2.</w:t>
      </w:r>
      <w:r w:rsidRPr="008D2F2B">
        <w:rPr>
          <w:rFonts w:ascii="Garamond" w:hAnsi="Garamond"/>
        </w:rPr>
        <w:t xml:space="preserve"> </w:t>
      </w:r>
      <w:r w:rsidR="00250FCD" w:rsidRPr="00250FCD">
        <w:rPr>
          <w:rFonts w:ascii="Garamond" w:hAnsi="Garamond"/>
          <w:i/>
        </w:rPr>
        <w:t>Las fuentes romanas relativas a la comunicabilidad en e</w:t>
      </w:r>
      <w:r w:rsidRPr="00250FCD">
        <w:rPr>
          <w:rFonts w:ascii="Garamond" w:hAnsi="Garamond"/>
          <w:i/>
        </w:rPr>
        <w:t>l hurto</w:t>
      </w:r>
      <w:r w:rsidRPr="0048109E">
        <w:rPr>
          <w:rFonts w:ascii="Garamond" w:hAnsi="Garamond"/>
          <w:i/>
        </w:rPr>
        <w:t xml:space="preserve"> </w:t>
      </w:r>
    </w:p>
    <w:p w:rsidR="00E229F1" w:rsidRPr="002C646E" w:rsidRDefault="00B30909" w:rsidP="00AC39E1">
      <w:pPr>
        <w:ind w:firstLine="142"/>
        <w:rPr>
          <w:rFonts w:ascii="Garamond" w:hAnsi="Garamond"/>
        </w:rPr>
      </w:pPr>
      <w:r>
        <w:rPr>
          <w:rFonts w:ascii="Garamond" w:hAnsi="Garamond"/>
        </w:rPr>
        <w:t xml:space="preserve">El análisis de los </w:t>
      </w:r>
      <w:r w:rsidR="00331645">
        <w:rPr>
          <w:rFonts w:ascii="Garamond" w:hAnsi="Garamond"/>
        </w:rPr>
        <w:t xml:space="preserve">dos </w:t>
      </w:r>
      <w:r w:rsidR="00E229F1" w:rsidRPr="002C646E">
        <w:rPr>
          <w:rFonts w:ascii="Garamond" w:hAnsi="Garamond"/>
        </w:rPr>
        <w:t xml:space="preserve">pasajes del </w:t>
      </w:r>
      <w:r w:rsidR="00E229F1" w:rsidRPr="008C22A6">
        <w:rPr>
          <w:rFonts w:ascii="Garamond" w:hAnsi="Garamond"/>
        </w:rPr>
        <w:t>Digesto</w:t>
      </w:r>
      <w:r w:rsidR="00E229F1" w:rsidRPr="002C646E">
        <w:rPr>
          <w:rFonts w:ascii="Garamond" w:hAnsi="Garamond"/>
        </w:rPr>
        <w:t xml:space="preserve"> </w:t>
      </w:r>
      <w:r>
        <w:rPr>
          <w:rFonts w:ascii="Garamond" w:hAnsi="Garamond"/>
        </w:rPr>
        <w:t>que invoca Arabia</w:t>
      </w:r>
      <w:r w:rsidR="00E229F1" w:rsidRPr="002C646E">
        <w:rPr>
          <w:rStyle w:val="Refdenotaalpie"/>
          <w:rFonts w:ascii="Garamond" w:hAnsi="Garamond"/>
        </w:rPr>
        <w:footnoteReference w:id="89"/>
      </w:r>
      <w:r w:rsidR="00E229F1">
        <w:rPr>
          <w:rFonts w:ascii="Garamond" w:hAnsi="Garamond"/>
        </w:rPr>
        <w:t xml:space="preserve"> exige exponer los </w:t>
      </w:r>
      <w:r w:rsidR="00E229F1" w:rsidRPr="002C646E">
        <w:rPr>
          <w:rFonts w:ascii="Garamond" w:hAnsi="Garamond"/>
        </w:rPr>
        <w:t>casos que comprenden las fuentes, así como pasar revista al contexto en que</w:t>
      </w:r>
      <w:r w:rsidR="00E229F1">
        <w:rPr>
          <w:rFonts w:ascii="Garamond" w:hAnsi="Garamond"/>
        </w:rPr>
        <w:t xml:space="preserve"> </w:t>
      </w:r>
      <w:r w:rsidR="00E229F1" w:rsidRPr="002C646E">
        <w:rPr>
          <w:rFonts w:ascii="Garamond" w:hAnsi="Garamond"/>
        </w:rPr>
        <w:t>se insertan. Por lo primero, es posible identificar, como caso fundamental, un hurto (</w:t>
      </w:r>
      <w:r w:rsidR="00E229F1" w:rsidRPr="002C646E">
        <w:rPr>
          <w:rFonts w:ascii="Garamond" w:hAnsi="Garamond"/>
          <w:i/>
        </w:rPr>
        <w:t>furtum</w:t>
      </w:r>
      <w:r w:rsidR="00E229F1" w:rsidRPr="002C646E">
        <w:rPr>
          <w:rFonts w:ascii="Garamond" w:hAnsi="Garamond"/>
        </w:rPr>
        <w:t xml:space="preserve">) en el que un extraño es cómplice del esclavo, del hijo o de la mujer del ofendido; en esta hipótesis, negándose acción de hurto respecto de estos últimos, sí la hay respecto del cómplice </w:t>
      </w:r>
      <w:r w:rsidR="00E229F1" w:rsidRPr="002C646E">
        <w:rPr>
          <w:rFonts w:ascii="Garamond" w:hAnsi="Garamond"/>
          <w:i/>
        </w:rPr>
        <w:t>extraneus</w:t>
      </w:r>
      <w:r w:rsidR="00E229F1" w:rsidRPr="002C646E">
        <w:rPr>
          <w:rFonts w:ascii="Garamond" w:hAnsi="Garamond"/>
        </w:rPr>
        <w:t xml:space="preserve">. </w:t>
      </w:r>
      <w:r w:rsidR="00E229F1" w:rsidRPr="004512FC">
        <w:rPr>
          <w:rFonts w:ascii="Garamond" w:hAnsi="Garamond"/>
        </w:rPr>
        <w:t xml:space="preserve">Como variaciones del caso fundamental, aparecen hipótesis en que el esclavo huye con cosas del amo (hay acción de hurto en contra del “seductor”); la mujer y un </w:t>
      </w:r>
      <w:r w:rsidR="00E229F1" w:rsidRPr="004512FC">
        <w:rPr>
          <w:rFonts w:ascii="Garamond" w:hAnsi="Garamond"/>
          <w:i/>
        </w:rPr>
        <w:t>extraneus</w:t>
      </w:r>
      <w:r w:rsidR="00E229F1" w:rsidRPr="004512FC">
        <w:rPr>
          <w:rFonts w:ascii="Garamond" w:hAnsi="Garamond"/>
        </w:rPr>
        <w:t xml:space="preserve"> realizan el hurto (sólo hay acción contra el segundo); la mujer ayuda al ladrón </w:t>
      </w:r>
      <w:r w:rsidR="00E229F1" w:rsidRPr="004512FC">
        <w:rPr>
          <w:rFonts w:ascii="Garamond" w:hAnsi="Garamond"/>
          <w:i/>
        </w:rPr>
        <w:t>extraneus</w:t>
      </w:r>
      <w:r w:rsidR="00E229F1" w:rsidRPr="004512FC">
        <w:rPr>
          <w:rFonts w:ascii="Garamond" w:hAnsi="Garamond"/>
        </w:rPr>
        <w:t xml:space="preserve"> (sólo hay acción de hurto en contra de éste, pero no en contra de aquélla); las mismas situaciones (de coparticipación, entendemos), pero ahora respecto del hijo de familia militar (no está obligado por la acción de hurto, aunque habría acción útil); el esclavo del peculio castrense del hijo hurta al padre (hay acción de hurto).</w:t>
      </w:r>
      <w:r w:rsidR="00E229F1">
        <w:rPr>
          <w:rFonts w:ascii="Garamond" w:hAnsi="Garamond"/>
        </w:rPr>
        <w:t xml:space="preserve"> </w:t>
      </w:r>
      <w:r w:rsidR="00E229F1" w:rsidRPr="002C646E">
        <w:rPr>
          <w:rFonts w:ascii="Garamond" w:hAnsi="Garamond"/>
        </w:rPr>
        <w:t xml:space="preserve">En términos generales, se trata de casos de coparticipación en el hurto, en que no se concede acción en contra de uno de los concurrentes (por tratarse del esclavo, el hijo o la mujer), no obstante lo cual sí la hay para perseguir la responsabilidad del </w:t>
      </w:r>
      <w:r w:rsidR="00E229F1" w:rsidRPr="002C646E">
        <w:rPr>
          <w:rFonts w:ascii="Garamond" w:hAnsi="Garamond"/>
          <w:i/>
        </w:rPr>
        <w:t>extraneus</w:t>
      </w:r>
      <w:r w:rsidR="00E229F1" w:rsidRPr="002C646E">
        <w:rPr>
          <w:rFonts w:ascii="Garamond" w:hAnsi="Garamond"/>
        </w:rPr>
        <w:t xml:space="preserve">. </w:t>
      </w:r>
    </w:p>
    <w:p w:rsidR="00E229F1" w:rsidRPr="002C646E" w:rsidRDefault="00A57B11" w:rsidP="00AC39E1">
      <w:pPr>
        <w:ind w:firstLine="142"/>
        <w:rPr>
          <w:rFonts w:ascii="Garamond" w:hAnsi="Garamond"/>
        </w:rPr>
      </w:pPr>
      <w:r>
        <w:rPr>
          <w:rFonts w:ascii="Garamond" w:hAnsi="Garamond"/>
        </w:rPr>
        <w:t xml:space="preserve">Salta a la </w:t>
      </w:r>
      <w:r w:rsidR="00E229F1" w:rsidRPr="002C646E">
        <w:rPr>
          <w:rFonts w:ascii="Garamond" w:hAnsi="Garamond"/>
        </w:rPr>
        <w:t>vista</w:t>
      </w:r>
      <w:r>
        <w:rPr>
          <w:rFonts w:ascii="Garamond" w:hAnsi="Garamond"/>
        </w:rPr>
        <w:t xml:space="preserve"> </w:t>
      </w:r>
      <w:r w:rsidR="00E229F1" w:rsidRPr="002C646E">
        <w:rPr>
          <w:rFonts w:ascii="Garamond" w:hAnsi="Garamond"/>
        </w:rPr>
        <w:t xml:space="preserve">que el “principio de razón y equidad” tenía en </w:t>
      </w:r>
      <w:r w:rsidR="00E229F1">
        <w:rPr>
          <w:rFonts w:ascii="Garamond" w:hAnsi="Garamond"/>
        </w:rPr>
        <w:t>estas</w:t>
      </w:r>
      <w:r w:rsidR="00E229F1" w:rsidRPr="002C646E">
        <w:rPr>
          <w:rFonts w:ascii="Garamond" w:hAnsi="Garamond"/>
        </w:rPr>
        <w:t xml:space="preserve"> fuentes romanas un alcance doblemente diverso </w:t>
      </w:r>
      <w:r w:rsidR="00E229F1">
        <w:rPr>
          <w:rFonts w:ascii="Garamond" w:hAnsi="Garamond"/>
        </w:rPr>
        <w:t>al d</w:t>
      </w:r>
      <w:r w:rsidR="00E229F1" w:rsidRPr="002C646E">
        <w:rPr>
          <w:rFonts w:ascii="Garamond" w:hAnsi="Garamond"/>
        </w:rPr>
        <w:t xml:space="preserve">el Código napolitano. Por un lado, mientras éste prevé tanto hipótesis de incomunicabilidad como de comunicabilidad, </w:t>
      </w:r>
      <w:r w:rsidR="00E229F1">
        <w:rPr>
          <w:rFonts w:ascii="Garamond" w:hAnsi="Garamond"/>
        </w:rPr>
        <w:t>aquéllas</w:t>
      </w:r>
      <w:r w:rsidR="00E229F1" w:rsidRPr="002C646E">
        <w:rPr>
          <w:rFonts w:ascii="Garamond" w:hAnsi="Garamond"/>
        </w:rPr>
        <w:t xml:space="preserve"> </w:t>
      </w:r>
      <w:r w:rsidR="00E229F1">
        <w:rPr>
          <w:rFonts w:ascii="Garamond" w:hAnsi="Garamond"/>
        </w:rPr>
        <w:t xml:space="preserve">sólo recogen </w:t>
      </w:r>
      <w:r w:rsidR="00E229F1" w:rsidRPr="002C646E">
        <w:rPr>
          <w:rFonts w:ascii="Garamond" w:hAnsi="Garamond"/>
        </w:rPr>
        <w:t xml:space="preserve">hipótesis en que la circunstancia no era extensible a extraños. Del otro, mientras </w:t>
      </w:r>
      <w:r w:rsidR="00E229F1">
        <w:rPr>
          <w:rFonts w:ascii="Garamond" w:hAnsi="Garamond"/>
        </w:rPr>
        <w:t xml:space="preserve">las primeras </w:t>
      </w:r>
      <w:r w:rsidR="00E229F1" w:rsidRPr="002C646E">
        <w:rPr>
          <w:rFonts w:ascii="Garamond" w:hAnsi="Garamond"/>
        </w:rPr>
        <w:t>sólo se refiere</w:t>
      </w:r>
      <w:r w:rsidR="00E229F1">
        <w:rPr>
          <w:rFonts w:ascii="Garamond" w:hAnsi="Garamond"/>
        </w:rPr>
        <w:t>n</w:t>
      </w:r>
      <w:r w:rsidR="00E229F1" w:rsidRPr="002C646E">
        <w:rPr>
          <w:rFonts w:ascii="Garamond" w:hAnsi="Garamond"/>
        </w:rPr>
        <w:t xml:space="preserve"> a eximentes (hipótesis en que no se configura el hurto respecto d</w:t>
      </w:r>
      <w:r w:rsidR="00B30909">
        <w:rPr>
          <w:rFonts w:ascii="Garamond" w:hAnsi="Garamond"/>
        </w:rPr>
        <w:t xml:space="preserve">e un codelincuente), el segundo alcanzaba asimismo a </w:t>
      </w:r>
      <w:r w:rsidR="00E229F1" w:rsidRPr="002C646E">
        <w:rPr>
          <w:rFonts w:ascii="Garamond" w:hAnsi="Garamond"/>
        </w:rPr>
        <w:t>agravantes y atenuantes personal</w:t>
      </w:r>
      <w:r w:rsidR="00B30909">
        <w:rPr>
          <w:rFonts w:ascii="Garamond" w:hAnsi="Garamond"/>
        </w:rPr>
        <w:t>es</w:t>
      </w:r>
      <w:r w:rsidR="00E229F1" w:rsidRPr="002C646E">
        <w:rPr>
          <w:rFonts w:ascii="Garamond" w:hAnsi="Garamond"/>
        </w:rPr>
        <w:t xml:space="preserve">. </w:t>
      </w:r>
      <w:r w:rsidR="00B30909">
        <w:rPr>
          <w:rFonts w:ascii="Garamond" w:hAnsi="Garamond"/>
        </w:rPr>
        <w:t>Así</w:t>
      </w:r>
      <w:r w:rsidR="00E229F1" w:rsidRPr="002C646E">
        <w:rPr>
          <w:rFonts w:ascii="Garamond" w:hAnsi="Garamond"/>
        </w:rPr>
        <w:t xml:space="preserve">, la hipótesis original romana desaparece </w:t>
      </w:r>
      <w:r w:rsidR="00B30909">
        <w:rPr>
          <w:rFonts w:ascii="Garamond" w:hAnsi="Garamond"/>
        </w:rPr>
        <w:t>de</w:t>
      </w:r>
      <w:r w:rsidR="00E229F1" w:rsidRPr="002C646E">
        <w:rPr>
          <w:rFonts w:ascii="Garamond" w:hAnsi="Garamond"/>
        </w:rPr>
        <w:t xml:space="preserve"> las legislaciones española y chilena, que se hacen cargo únicamente del efecto de </w:t>
      </w:r>
      <w:r w:rsidR="00B30909">
        <w:rPr>
          <w:rFonts w:ascii="Garamond" w:hAnsi="Garamond"/>
        </w:rPr>
        <w:t xml:space="preserve">las </w:t>
      </w:r>
      <w:r w:rsidR="00E229F1" w:rsidRPr="002C646E">
        <w:rPr>
          <w:rFonts w:ascii="Garamond" w:hAnsi="Garamond"/>
        </w:rPr>
        <w:t xml:space="preserve">circunstancias modificatorias. Antes incluso, el alcance difiere en cuanto a los delitos sobre los que recaen: las fuentes romanas abordaban únicamente hipótesis de hurto y no tenían, como las legislaciones decimonónicas, una vocación genérica. </w:t>
      </w:r>
    </w:p>
    <w:p w:rsidR="00E229F1" w:rsidRPr="002C646E" w:rsidRDefault="00E229F1" w:rsidP="00AC39E1">
      <w:pPr>
        <w:ind w:firstLine="142"/>
        <w:rPr>
          <w:rFonts w:ascii="Garamond" w:hAnsi="Garamond"/>
        </w:rPr>
      </w:pPr>
      <w:r w:rsidRPr="002C646E">
        <w:rPr>
          <w:rFonts w:ascii="Garamond" w:hAnsi="Garamond"/>
        </w:rPr>
        <w:t xml:space="preserve">Si </w:t>
      </w:r>
      <w:r>
        <w:rPr>
          <w:rFonts w:ascii="Garamond" w:hAnsi="Garamond"/>
        </w:rPr>
        <w:t>estas</w:t>
      </w:r>
      <w:r w:rsidRPr="002C646E">
        <w:rPr>
          <w:rFonts w:ascii="Garamond" w:hAnsi="Garamond"/>
        </w:rPr>
        <w:t xml:space="preserve"> fuentes romanas sólo se referían a hipótesis de incomunicabilidad, el proceso de generalización que supuso la codificación decimonónica debió haber obligado a reconocer </w:t>
      </w:r>
      <w:r>
        <w:rPr>
          <w:rFonts w:ascii="Garamond" w:hAnsi="Garamond"/>
        </w:rPr>
        <w:t xml:space="preserve">casos </w:t>
      </w:r>
      <w:r w:rsidRPr="002C646E">
        <w:rPr>
          <w:rFonts w:ascii="Garamond" w:hAnsi="Garamond"/>
        </w:rPr>
        <w:lastRenderedPageBreak/>
        <w:t>en que debía operar la lógica inversa</w:t>
      </w:r>
      <w:r>
        <w:rPr>
          <w:rFonts w:ascii="Garamond" w:hAnsi="Garamond"/>
        </w:rPr>
        <w:t xml:space="preserve">, particularmente si </w:t>
      </w:r>
      <w:r w:rsidR="00250FCD">
        <w:rPr>
          <w:rFonts w:ascii="Garamond" w:hAnsi="Garamond"/>
        </w:rPr>
        <w:t>ella aparece en otros textos</w:t>
      </w:r>
      <w:r>
        <w:rPr>
          <w:rFonts w:ascii="Garamond" w:hAnsi="Garamond"/>
        </w:rPr>
        <w:t xml:space="preserve"> roman</w:t>
      </w:r>
      <w:r w:rsidR="00250FCD">
        <w:rPr>
          <w:rFonts w:ascii="Garamond" w:hAnsi="Garamond"/>
        </w:rPr>
        <w:t>o</w:t>
      </w:r>
      <w:r>
        <w:rPr>
          <w:rFonts w:ascii="Garamond" w:hAnsi="Garamond"/>
        </w:rPr>
        <w:t>s</w:t>
      </w:r>
      <w:r w:rsidRPr="002C646E">
        <w:rPr>
          <w:rFonts w:ascii="Garamond" w:hAnsi="Garamond"/>
        </w:rPr>
        <w:t xml:space="preserve">. Esta constatación pudo haber movido al legislador napolitano a </w:t>
      </w:r>
      <w:r>
        <w:rPr>
          <w:rFonts w:ascii="Garamond" w:hAnsi="Garamond"/>
        </w:rPr>
        <w:t xml:space="preserve">incurrir en la singularidad de </w:t>
      </w:r>
      <w:r w:rsidRPr="002C646E">
        <w:rPr>
          <w:rFonts w:ascii="Garamond" w:hAnsi="Garamond"/>
        </w:rPr>
        <w:t>resolver el problema</w:t>
      </w:r>
      <w:r>
        <w:rPr>
          <w:rFonts w:ascii="Garamond" w:hAnsi="Garamond"/>
        </w:rPr>
        <w:t xml:space="preserve"> derivado de </w:t>
      </w:r>
      <w:r w:rsidR="00250FCD">
        <w:rPr>
          <w:rFonts w:ascii="Garamond" w:hAnsi="Garamond"/>
        </w:rPr>
        <w:t xml:space="preserve">esta </w:t>
      </w:r>
      <w:r>
        <w:rPr>
          <w:rFonts w:ascii="Garamond" w:hAnsi="Garamond"/>
        </w:rPr>
        <w:t>dualidad,</w:t>
      </w:r>
      <w:r w:rsidRPr="002C646E">
        <w:rPr>
          <w:rFonts w:ascii="Garamond" w:hAnsi="Garamond"/>
        </w:rPr>
        <w:t xml:space="preserve"> </w:t>
      </w:r>
      <w:r>
        <w:rPr>
          <w:rFonts w:ascii="Garamond" w:hAnsi="Garamond"/>
        </w:rPr>
        <w:t>consagrando</w:t>
      </w:r>
      <w:r w:rsidRPr="002C646E">
        <w:rPr>
          <w:rFonts w:ascii="Garamond" w:hAnsi="Garamond"/>
        </w:rPr>
        <w:t xml:space="preserve"> la comunicabilidad para las “agravantes materiales”. </w:t>
      </w:r>
      <w:r w:rsidR="00E93BC5">
        <w:rPr>
          <w:rFonts w:ascii="Garamond" w:hAnsi="Garamond"/>
        </w:rPr>
        <w:t>A</w:t>
      </w:r>
      <w:r w:rsidRPr="002C646E">
        <w:rPr>
          <w:rFonts w:ascii="Garamond" w:hAnsi="Garamond"/>
        </w:rPr>
        <w:t xml:space="preserve">vanzar </w:t>
      </w:r>
      <w:r w:rsidR="00E93BC5">
        <w:rPr>
          <w:rFonts w:ascii="Garamond" w:hAnsi="Garamond"/>
        </w:rPr>
        <w:t xml:space="preserve">demanda </w:t>
      </w:r>
      <w:r w:rsidRPr="002C646E">
        <w:rPr>
          <w:rFonts w:ascii="Garamond" w:hAnsi="Garamond"/>
        </w:rPr>
        <w:t xml:space="preserve">conocer </w:t>
      </w:r>
      <w:r w:rsidR="00E93BC5">
        <w:rPr>
          <w:rFonts w:ascii="Garamond" w:hAnsi="Garamond"/>
        </w:rPr>
        <w:t xml:space="preserve">cuál era </w:t>
      </w:r>
      <w:r w:rsidRPr="002C646E">
        <w:rPr>
          <w:rFonts w:ascii="Garamond" w:hAnsi="Garamond"/>
        </w:rPr>
        <w:t xml:space="preserve">el fundamento de la eximente, es decir, </w:t>
      </w:r>
      <w:r w:rsidR="00E93BC5">
        <w:rPr>
          <w:rFonts w:ascii="Garamond" w:hAnsi="Garamond"/>
        </w:rPr>
        <w:t xml:space="preserve">por qué </w:t>
      </w:r>
      <w:r w:rsidRPr="002C646E">
        <w:rPr>
          <w:rFonts w:ascii="Garamond" w:hAnsi="Garamond"/>
        </w:rPr>
        <w:t>se negaba la acción de hurto respecto del esclavo, el hijo y la mujer</w:t>
      </w:r>
      <w:r w:rsidR="00E93BC5">
        <w:rPr>
          <w:rFonts w:ascii="Garamond" w:hAnsi="Garamond"/>
        </w:rPr>
        <w:t xml:space="preserve">, </w:t>
      </w:r>
      <w:r w:rsidR="00DD5568">
        <w:rPr>
          <w:rFonts w:ascii="Garamond" w:hAnsi="Garamond"/>
        </w:rPr>
        <w:t xml:space="preserve">lo que exige antes </w:t>
      </w:r>
      <w:r w:rsidR="00E93BC5">
        <w:rPr>
          <w:rFonts w:ascii="Garamond" w:hAnsi="Garamond"/>
        </w:rPr>
        <w:t xml:space="preserve">revisar conceptos </w:t>
      </w:r>
      <w:r w:rsidRPr="002C646E">
        <w:rPr>
          <w:rFonts w:ascii="Garamond" w:hAnsi="Garamond"/>
        </w:rPr>
        <w:t xml:space="preserve">generales sobre la coparticipación y el hurto en el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 xml:space="preserve">omano. </w:t>
      </w:r>
    </w:p>
    <w:p w:rsidR="00E229F1" w:rsidRPr="002C646E" w:rsidRDefault="00E229F1" w:rsidP="00AC39E1">
      <w:pPr>
        <w:ind w:firstLine="142"/>
        <w:rPr>
          <w:rFonts w:ascii="Garamond" w:hAnsi="Garamond"/>
        </w:rPr>
      </w:pPr>
    </w:p>
    <w:p w:rsidR="00E229F1" w:rsidRPr="008D2F2B" w:rsidRDefault="00E229F1" w:rsidP="00AC39E1">
      <w:pPr>
        <w:pStyle w:val="Prrafodelista"/>
        <w:ind w:left="0" w:firstLine="142"/>
        <w:rPr>
          <w:rFonts w:ascii="Garamond" w:hAnsi="Garamond"/>
        </w:rPr>
      </w:pPr>
      <w:r w:rsidRPr="00A57B11">
        <w:rPr>
          <w:rFonts w:ascii="Garamond" w:hAnsi="Garamond"/>
        </w:rPr>
        <w:t xml:space="preserve">3. </w:t>
      </w:r>
      <w:r w:rsidRPr="00A57B11">
        <w:rPr>
          <w:rFonts w:ascii="Garamond" w:hAnsi="Garamond"/>
          <w:i/>
        </w:rPr>
        <w:t>El</w:t>
      </w:r>
      <w:r w:rsidRPr="00A57B11">
        <w:rPr>
          <w:rFonts w:ascii="Garamond" w:hAnsi="Garamond"/>
        </w:rPr>
        <w:t xml:space="preserve"> furtum </w:t>
      </w:r>
      <w:r w:rsidRPr="00A57B11">
        <w:rPr>
          <w:rFonts w:ascii="Garamond" w:hAnsi="Garamond"/>
          <w:i/>
        </w:rPr>
        <w:t>y la participación en el derecho romano</w:t>
      </w:r>
      <w:r w:rsidRPr="008D2F2B">
        <w:rPr>
          <w:rFonts w:ascii="Garamond" w:hAnsi="Garamond"/>
        </w:rPr>
        <w:t xml:space="preserve"> </w:t>
      </w:r>
    </w:p>
    <w:p w:rsidR="00E229F1" w:rsidRPr="002C646E" w:rsidRDefault="00E229F1" w:rsidP="00AC39E1">
      <w:pPr>
        <w:ind w:firstLine="142"/>
        <w:rPr>
          <w:rFonts w:ascii="Garamond" w:hAnsi="Garamond"/>
        </w:rPr>
      </w:pPr>
      <w:r>
        <w:rPr>
          <w:rFonts w:ascii="Garamond" w:hAnsi="Garamond"/>
        </w:rPr>
        <w:t xml:space="preserve">El </w:t>
      </w:r>
      <w:r w:rsidRPr="002C646E">
        <w:rPr>
          <w:rFonts w:ascii="Garamond" w:hAnsi="Garamond"/>
          <w:i/>
        </w:rPr>
        <w:t>furtum</w:t>
      </w:r>
      <w:r w:rsidRPr="002C646E">
        <w:rPr>
          <w:rFonts w:ascii="Garamond" w:hAnsi="Garamond"/>
        </w:rPr>
        <w:t xml:space="preserve"> (hurto)</w:t>
      </w:r>
      <w:r>
        <w:rPr>
          <w:rFonts w:ascii="Garamond" w:hAnsi="Garamond"/>
        </w:rPr>
        <w:t xml:space="preserve"> </w:t>
      </w:r>
      <w:r w:rsidRPr="002C646E">
        <w:rPr>
          <w:rFonts w:ascii="Garamond" w:hAnsi="Garamond"/>
        </w:rPr>
        <w:t>se inserta “en el campo más amplio de la histo</w:t>
      </w:r>
      <w:r>
        <w:rPr>
          <w:rFonts w:ascii="Garamond" w:hAnsi="Garamond"/>
        </w:rPr>
        <w:t>ria del ilícito privado en Roma</w:t>
      </w:r>
      <w:r w:rsidRPr="002C646E">
        <w:rPr>
          <w:rFonts w:ascii="Garamond" w:hAnsi="Garamond"/>
        </w:rPr>
        <w:t>”</w:t>
      </w:r>
      <w:bookmarkStart w:id="33" w:name="_Ref7387126"/>
      <w:r>
        <w:rPr>
          <w:rFonts w:ascii="Garamond" w:hAnsi="Garamond"/>
        </w:rPr>
        <w:t>,</w:t>
      </w:r>
      <w:r w:rsidRPr="002C646E">
        <w:rPr>
          <w:rStyle w:val="Refdenotaalpie"/>
          <w:rFonts w:ascii="Garamond" w:hAnsi="Garamond"/>
        </w:rPr>
        <w:footnoteReference w:id="90"/>
      </w:r>
      <w:bookmarkEnd w:id="33"/>
      <w:r w:rsidRPr="002C646E">
        <w:rPr>
          <w:rFonts w:ascii="Garamond" w:hAnsi="Garamond"/>
        </w:rPr>
        <w:t xml:space="preserve"> </w:t>
      </w:r>
      <w:r w:rsidR="00A57B11">
        <w:rPr>
          <w:rFonts w:ascii="Garamond" w:hAnsi="Garamond"/>
        </w:rPr>
        <w:t xml:space="preserve">pues se cuenta entre </w:t>
      </w:r>
      <w:r>
        <w:rPr>
          <w:rFonts w:ascii="Garamond" w:hAnsi="Garamond"/>
        </w:rPr>
        <w:t xml:space="preserve">aquellos que tienden a recibir la denominación de </w:t>
      </w:r>
      <w:r w:rsidRPr="006533FB">
        <w:rPr>
          <w:rFonts w:ascii="Garamond" w:hAnsi="Garamond"/>
          <w:i/>
        </w:rPr>
        <w:t>delicta</w:t>
      </w:r>
      <w:r>
        <w:rPr>
          <w:rFonts w:ascii="Garamond" w:hAnsi="Garamond"/>
        </w:rPr>
        <w:t>,</w:t>
      </w:r>
      <w:bookmarkStart w:id="34" w:name="_Ref7387440"/>
      <w:r w:rsidRPr="002C646E">
        <w:rPr>
          <w:rStyle w:val="Refdenotaalpie"/>
          <w:rFonts w:ascii="Garamond" w:hAnsi="Garamond"/>
        </w:rPr>
        <w:footnoteReference w:id="91"/>
      </w:r>
      <w:bookmarkEnd w:id="34"/>
      <w:r>
        <w:rPr>
          <w:rFonts w:ascii="Garamond" w:hAnsi="Garamond"/>
        </w:rPr>
        <w:t xml:space="preserve"> </w:t>
      </w:r>
      <w:r w:rsidR="00A57B11">
        <w:rPr>
          <w:rFonts w:ascii="Garamond" w:hAnsi="Garamond"/>
        </w:rPr>
        <w:t>los que se caracterizan</w:t>
      </w:r>
      <w:r>
        <w:rPr>
          <w:rFonts w:ascii="Garamond" w:hAnsi="Garamond"/>
        </w:rPr>
        <w:t>, en lo fundamental, por recibir penas privadas en favor de la víctima</w:t>
      </w:r>
      <w:r w:rsidRPr="002C646E">
        <w:rPr>
          <w:rStyle w:val="Refdenotaalpie"/>
          <w:rFonts w:ascii="Garamond" w:hAnsi="Garamond"/>
        </w:rPr>
        <w:footnoteReference w:id="92"/>
      </w:r>
      <w:r>
        <w:rPr>
          <w:rFonts w:ascii="Garamond" w:hAnsi="Garamond"/>
        </w:rPr>
        <w:t xml:space="preserve"> y por estar sujetos a un procedimiento del mismo carácter.</w:t>
      </w:r>
      <w:r w:rsidRPr="002C646E">
        <w:rPr>
          <w:rStyle w:val="Refdenotaalpie"/>
          <w:rFonts w:ascii="Garamond" w:hAnsi="Garamond"/>
        </w:rPr>
        <w:footnoteReference w:id="93"/>
      </w:r>
      <w:r>
        <w:rPr>
          <w:rFonts w:ascii="Garamond" w:hAnsi="Garamond"/>
        </w:rPr>
        <w:t xml:space="preserve"> </w:t>
      </w:r>
      <w:r w:rsidR="00476E5E">
        <w:rPr>
          <w:rFonts w:ascii="Garamond" w:hAnsi="Garamond"/>
        </w:rPr>
        <w:t>Por otra parte, e</w:t>
      </w:r>
      <w:r>
        <w:rPr>
          <w:rFonts w:ascii="Garamond" w:hAnsi="Garamond"/>
        </w:rPr>
        <w:t>n cuanto a la fuente,</w:t>
      </w:r>
      <w:r w:rsidRPr="002C646E">
        <w:rPr>
          <w:rStyle w:val="Refdenotaalpie"/>
          <w:rFonts w:ascii="Garamond" w:hAnsi="Garamond"/>
        </w:rPr>
        <w:footnoteReference w:id="94"/>
      </w:r>
      <w:r>
        <w:rPr>
          <w:rFonts w:ascii="Garamond" w:hAnsi="Garamond"/>
        </w:rPr>
        <w:t xml:space="preserve"> </w:t>
      </w:r>
      <w:r w:rsidRPr="002C646E">
        <w:rPr>
          <w:rFonts w:ascii="Garamond" w:hAnsi="Garamond"/>
        </w:rPr>
        <w:t>el hurto es un delito de carácter civil, en tanto estaba recogido en la ley de las XII Tablas</w:t>
      </w:r>
      <w:r>
        <w:rPr>
          <w:rFonts w:ascii="Garamond" w:hAnsi="Garamond"/>
        </w:rPr>
        <w:t>.</w:t>
      </w:r>
      <w:r w:rsidRPr="002C646E">
        <w:rPr>
          <w:rStyle w:val="Refdenotaalpie"/>
          <w:rFonts w:ascii="Garamond" w:hAnsi="Garamond"/>
        </w:rPr>
        <w:footnoteReference w:id="95"/>
      </w:r>
      <w:r>
        <w:rPr>
          <w:rFonts w:ascii="Garamond" w:hAnsi="Garamond"/>
        </w:rPr>
        <w:t xml:space="preserve"> </w:t>
      </w:r>
    </w:p>
    <w:p w:rsidR="00E229F1" w:rsidRPr="002C646E" w:rsidRDefault="00E229F1" w:rsidP="00AC39E1">
      <w:pPr>
        <w:ind w:firstLine="142"/>
        <w:rPr>
          <w:rFonts w:ascii="Garamond" w:hAnsi="Garamond"/>
        </w:rPr>
      </w:pPr>
      <w:r>
        <w:rPr>
          <w:rFonts w:ascii="Garamond" w:hAnsi="Garamond"/>
        </w:rPr>
        <w:t>N</w:t>
      </w:r>
      <w:r w:rsidRPr="00DA6779">
        <w:rPr>
          <w:rFonts w:ascii="Garamond" w:hAnsi="Garamond"/>
        </w:rPr>
        <w:t>o debe olvidarse que el derecho romano nunca se mantuvo</w:t>
      </w:r>
      <w:bookmarkStart w:id="35" w:name="_Ref7386876"/>
      <w:r>
        <w:rPr>
          <w:rFonts w:ascii="Garamond" w:hAnsi="Garamond"/>
        </w:rPr>
        <w:t xml:space="preserve"> estático,</w:t>
      </w:r>
      <w:r w:rsidRPr="002C646E">
        <w:rPr>
          <w:rStyle w:val="Refdenotaalpie"/>
          <w:rFonts w:ascii="Garamond" w:hAnsi="Garamond"/>
        </w:rPr>
        <w:footnoteReference w:id="96"/>
      </w:r>
      <w:bookmarkEnd w:id="35"/>
      <w:r w:rsidRPr="002C646E">
        <w:rPr>
          <w:rFonts w:ascii="Garamond" w:hAnsi="Garamond"/>
        </w:rPr>
        <w:t xml:space="preserve"> </w:t>
      </w:r>
      <w:r>
        <w:rPr>
          <w:rFonts w:ascii="Garamond" w:hAnsi="Garamond"/>
        </w:rPr>
        <w:t>a lo que no hace excepción el hurto.</w:t>
      </w:r>
      <w:r w:rsidRPr="002C646E">
        <w:rPr>
          <w:rStyle w:val="Refdenotaalpie"/>
          <w:rFonts w:ascii="Garamond" w:hAnsi="Garamond"/>
        </w:rPr>
        <w:footnoteReference w:id="97"/>
      </w:r>
      <w:r>
        <w:rPr>
          <w:rFonts w:ascii="Garamond" w:hAnsi="Garamond"/>
        </w:rPr>
        <w:t xml:space="preserve"> En una </w:t>
      </w:r>
      <w:r w:rsidRPr="002C646E">
        <w:rPr>
          <w:rFonts w:ascii="Garamond" w:hAnsi="Garamond"/>
        </w:rPr>
        <w:t xml:space="preserve">apretada síntesis, </w:t>
      </w:r>
      <w:r>
        <w:rPr>
          <w:rFonts w:ascii="Garamond" w:hAnsi="Garamond"/>
        </w:rPr>
        <w:t>el concepto de hurto</w:t>
      </w:r>
      <w:r w:rsidRPr="002C646E">
        <w:rPr>
          <w:rFonts w:ascii="Garamond" w:hAnsi="Garamond"/>
        </w:rPr>
        <w:t>, en sus orígenes, habría respondido a una idea más restringida (aunque no definida).</w:t>
      </w:r>
      <w:r w:rsidRPr="002C646E">
        <w:rPr>
          <w:rStyle w:val="Refdenotaalpie"/>
          <w:rFonts w:ascii="Garamond" w:hAnsi="Garamond"/>
        </w:rPr>
        <w:footnoteReference w:id="98"/>
      </w:r>
      <w:r w:rsidRPr="002C646E">
        <w:rPr>
          <w:rFonts w:ascii="Garamond" w:hAnsi="Garamond"/>
        </w:rPr>
        <w:t xml:space="preserve"> Durante la República, sin embargo, alcanzó una extensión considerable, hasta llegar a abarcar cualquier</w:t>
      </w:r>
      <w:r>
        <w:rPr>
          <w:rFonts w:ascii="Garamond" w:hAnsi="Garamond"/>
        </w:rPr>
        <w:t xml:space="preserve"> la</w:t>
      </w:r>
      <w:r w:rsidRPr="002C646E">
        <w:rPr>
          <w:rFonts w:ascii="Garamond" w:hAnsi="Garamond"/>
        </w:rPr>
        <w:t xml:space="preserve"> situación en la cual una persona, por medio de un acto doloso, sufría una pérdida patrimonial distinta del daño físico </w:t>
      </w:r>
      <w:r>
        <w:rPr>
          <w:rFonts w:ascii="Garamond" w:hAnsi="Garamond"/>
        </w:rPr>
        <w:t>de</w:t>
      </w:r>
      <w:r w:rsidRPr="002C646E">
        <w:rPr>
          <w:rFonts w:ascii="Garamond" w:hAnsi="Garamond"/>
        </w:rPr>
        <w:t xml:space="preserve"> un objeto.</w:t>
      </w:r>
      <w:r w:rsidRPr="002C646E">
        <w:rPr>
          <w:rStyle w:val="Refdenotaalpie"/>
          <w:rFonts w:ascii="Garamond" w:hAnsi="Garamond"/>
        </w:rPr>
        <w:footnoteReference w:id="99"/>
      </w:r>
      <w:r w:rsidRPr="002C646E">
        <w:rPr>
          <w:rFonts w:ascii="Garamond" w:hAnsi="Garamond"/>
        </w:rPr>
        <w:t xml:space="preserve"> El desarrollo posterior de remedios alternativos, sin embargo, hizo que decayera la necesidad de dicha extensión, dando origen a un debate, cuya síntesis combinó un elemento material (la </w:t>
      </w:r>
      <w:proofErr w:type="spellStart"/>
      <w:r w:rsidRPr="002C646E">
        <w:rPr>
          <w:rFonts w:ascii="Garamond" w:hAnsi="Garamond"/>
          <w:i/>
        </w:rPr>
        <w:t>contrectatio</w:t>
      </w:r>
      <w:proofErr w:type="spellEnd"/>
      <w:r w:rsidRPr="002C646E">
        <w:rPr>
          <w:rFonts w:ascii="Garamond" w:hAnsi="Garamond"/>
        </w:rPr>
        <w:t>)</w:t>
      </w:r>
      <w:r w:rsidRPr="002C646E">
        <w:rPr>
          <w:rFonts w:ascii="Garamond" w:hAnsi="Garamond"/>
          <w:i/>
        </w:rPr>
        <w:t xml:space="preserve"> </w:t>
      </w:r>
      <w:r w:rsidRPr="002C646E">
        <w:rPr>
          <w:rFonts w:ascii="Garamond" w:hAnsi="Garamond"/>
        </w:rPr>
        <w:t xml:space="preserve">y uno subjetivo (el </w:t>
      </w:r>
      <w:r w:rsidRPr="002C646E">
        <w:rPr>
          <w:rFonts w:ascii="Garamond" w:hAnsi="Garamond"/>
          <w:i/>
        </w:rPr>
        <w:t>animus lucr</w:t>
      </w:r>
      <w:r>
        <w:rPr>
          <w:rFonts w:ascii="Garamond" w:hAnsi="Garamond"/>
          <w:i/>
        </w:rPr>
        <w:t>i</w:t>
      </w:r>
      <w:r w:rsidRPr="002C646E">
        <w:rPr>
          <w:rFonts w:ascii="Garamond" w:hAnsi="Garamond"/>
          <w:i/>
        </w:rPr>
        <w:t xml:space="preserve"> </w:t>
      </w:r>
      <w:proofErr w:type="spellStart"/>
      <w:r w:rsidRPr="002C646E">
        <w:rPr>
          <w:rFonts w:ascii="Garamond" w:hAnsi="Garamond"/>
          <w:i/>
        </w:rPr>
        <w:t>faciendi</w:t>
      </w:r>
      <w:proofErr w:type="spellEnd"/>
      <w:r w:rsidRPr="002C646E">
        <w:rPr>
          <w:rFonts w:ascii="Garamond" w:hAnsi="Garamond"/>
        </w:rPr>
        <w:t>)</w:t>
      </w:r>
      <w:r>
        <w:rPr>
          <w:rFonts w:ascii="Garamond" w:hAnsi="Garamond"/>
        </w:rPr>
        <w:t>,</w:t>
      </w:r>
      <w:r w:rsidRPr="002C646E">
        <w:rPr>
          <w:rStyle w:val="Refdenotaalpie"/>
          <w:rFonts w:ascii="Garamond" w:hAnsi="Garamond"/>
        </w:rPr>
        <w:footnoteReference w:id="100"/>
      </w:r>
      <w:r w:rsidRPr="002C646E">
        <w:rPr>
          <w:rFonts w:ascii="Garamond" w:hAnsi="Garamond"/>
        </w:rPr>
        <w:t xml:space="preserve"> </w:t>
      </w:r>
      <w:r>
        <w:rPr>
          <w:rFonts w:ascii="Garamond" w:hAnsi="Garamond"/>
        </w:rPr>
        <w:t xml:space="preserve">sobre los </w:t>
      </w:r>
      <w:r w:rsidRPr="002C646E">
        <w:rPr>
          <w:rFonts w:ascii="Garamond" w:hAnsi="Garamond"/>
        </w:rPr>
        <w:t>cuales se construye la conocida definición de Paulo:</w:t>
      </w:r>
      <w:r w:rsidRPr="002C646E">
        <w:rPr>
          <w:rStyle w:val="Refdenotaalpie"/>
          <w:rFonts w:ascii="Garamond" w:hAnsi="Garamond"/>
        </w:rPr>
        <w:footnoteReference w:id="101"/>
      </w:r>
      <w:r w:rsidRPr="002C646E">
        <w:rPr>
          <w:rFonts w:ascii="Garamond" w:hAnsi="Garamond"/>
        </w:rPr>
        <w:t xml:space="preserve"> “Hurto es el apoderamiento fraudulento, de una cosa, para </w:t>
      </w:r>
      <w:r w:rsidRPr="002C646E">
        <w:rPr>
          <w:rFonts w:ascii="Garamond" w:hAnsi="Garamond"/>
        </w:rPr>
        <w:lastRenderedPageBreak/>
        <w:t xml:space="preserve">realizar lucro, ya sea de la misma cosa, ya también de uso </w:t>
      </w:r>
      <w:proofErr w:type="spellStart"/>
      <w:r w:rsidRPr="002C646E">
        <w:rPr>
          <w:rFonts w:ascii="Garamond" w:hAnsi="Garamond"/>
        </w:rPr>
        <w:t>ó</w:t>
      </w:r>
      <w:proofErr w:type="spellEnd"/>
      <w:r w:rsidRPr="002C646E">
        <w:rPr>
          <w:rFonts w:ascii="Garamond" w:hAnsi="Garamond"/>
        </w:rPr>
        <w:t xml:space="preserve"> posesión; lo que está prohibido hacer”.</w:t>
      </w:r>
      <w:r w:rsidRPr="002C646E">
        <w:rPr>
          <w:rStyle w:val="Refdenotaalpie"/>
          <w:rFonts w:ascii="Garamond" w:hAnsi="Garamond"/>
        </w:rPr>
        <w:footnoteReference w:id="102"/>
      </w:r>
      <w:r w:rsidRPr="002C646E">
        <w:rPr>
          <w:rFonts w:ascii="Garamond" w:hAnsi="Garamond"/>
        </w:rPr>
        <w:t xml:space="preserve"> </w:t>
      </w:r>
      <w:r w:rsidR="000C4197">
        <w:rPr>
          <w:rFonts w:ascii="Garamond" w:hAnsi="Garamond"/>
        </w:rPr>
        <w:t>Sea lo como fuere</w:t>
      </w:r>
      <w:r w:rsidRPr="002C646E">
        <w:rPr>
          <w:rFonts w:ascii="Garamond" w:hAnsi="Garamond"/>
        </w:rPr>
        <w:t xml:space="preserve">, el </w:t>
      </w:r>
      <w:r w:rsidRPr="002C646E">
        <w:rPr>
          <w:rFonts w:ascii="Garamond" w:hAnsi="Garamond"/>
          <w:i/>
        </w:rPr>
        <w:t xml:space="preserve">furtum </w:t>
      </w:r>
      <w:r w:rsidRPr="002C646E">
        <w:rPr>
          <w:rFonts w:ascii="Garamond" w:hAnsi="Garamond"/>
        </w:rPr>
        <w:t xml:space="preserve">comprendería todos los casos del actual hurto, pero su alcance era mucho más amplio, extendiéndose a </w:t>
      </w:r>
      <w:r>
        <w:rPr>
          <w:rFonts w:ascii="Garamond" w:hAnsi="Garamond"/>
        </w:rPr>
        <w:t>hipótesis</w:t>
      </w:r>
      <w:r w:rsidRPr="002C646E">
        <w:rPr>
          <w:rFonts w:ascii="Garamond" w:hAnsi="Garamond"/>
        </w:rPr>
        <w:t xml:space="preserve"> de hurto de uso, hurto de posesión, apropiación indebida y a ciertos fraudes.</w:t>
      </w:r>
      <w:r w:rsidRPr="002C646E">
        <w:rPr>
          <w:rStyle w:val="Refdenotaalpie"/>
          <w:rFonts w:ascii="Garamond" w:hAnsi="Garamond"/>
        </w:rPr>
        <w:footnoteReference w:id="103"/>
      </w:r>
      <w:r w:rsidR="000C4197">
        <w:rPr>
          <w:rFonts w:ascii="Garamond" w:hAnsi="Garamond"/>
        </w:rPr>
        <w:t xml:space="preserve"> </w:t>
      </w:r>
      <w:r w:rsidRPr="00AC37F5">
        <w:rPr>
          <w:rFonts w:ascii="Garamond" w:hAnsi="Garamond"/>
        </w:rPr>
        <w:t xml:space="preserve">Ahora bien, las consecuencias jurídico-penales del hurto en el derecho romano </w:t>
      </w:r>
      <w:r>
        <w:rPr>
          <w:rFonts w:ascii="Garamond" w:hAnsi="Garamond"/>
        </w:rPr>
        <w:t xml:space="preserve">llegaron a ser </w:t>
      </w:r>
      <w:r w:rsidRPr="002C646E">
        <w:rPr>
          <w:rFonts w:ascii="Garamond" w:hAnsi="Garamond"/>
        </w:rPr>
        <w:t xml:space="preserve">fundamentalmente pecuniarias. Puesto que los detalles </w:t>
      </w:r>
      <w:r>
        <w:rPr>
          <w:rFonts w:ascii="Garamond" w:hAnsi="Garamond"/>
        </w:rPr>
        <w:t xml:space="preserve">de la evolución en este plano </w:t>
      </w:r>
      <w:r w:rsidRPr="002C646E">
        <w:rPr>
          <w:rFonts w:ascii="Garamond" w:hAnsi="Garamond"/>
        </w:rPr>
        <w:t>nos distraería de nuestro propósito, nos limitaremos a acotar,</w:t>
      </w:r>
      <w:bookmarkStart w:id="36" w:name="_Ref519785790"/>
      <w:r w:rsidRPr="002C646E">
        <w:rPr>
          <w:rStyle w:val="Refdenotaalpie"/>
          <w:rFonts w:ascii="Garamond" w:hAnsi="Garamond"/>
        </w:rPr>
        <w:footnoteReference w:id="104"/>
      </w:r>
      <w:bookmarkEnd w:id="36"/>
      <w:r w:rsidRPr="002C646E">
        <w:rPr>
          <w:rFonts w:ascii="Garamond" w:hAnsi="Garamond"/>
        </w:rPr>
        <w:t xml:space="preserve"> que en materia de penalidad era preciso distinguir el hurto manifiesto (</w:t>
      </w:r>
      <w:r w:rsidRPr="002C646E">
        <w:rPr>
          <w:rFonts w:ascii="Garamond" w:hAnsi="Garamond"/>
          <w:i/>
        </w:rPr>
        <w:t>furtum manifestum</w:t>
      </w:r>
      <w:r w:rsidRPr="002C646E">
        <w:rPr>
          <w:rFonts w:ascii="Garamond" w:hAnsi="Garamond"/>
        </w:rPr>
        <w:t>) del que no lo era (</w:t>
      </w:r>
      <w:r w:rsidRPr="002C646E">
        <w:rPr>
          <w:rFonts w:ascii="Garamond" w:hAnsi="Garamond"/>
          <w:i/>
        </w:rPr>
        <w:t xml:space="preserve">furtum </w:t>
      </w:r>
      <w:proofErr w:type="spellStart"/>
      <w:r w:rsidRPr="002C646E">
        <w:rPr>
          <w:rFonts w:ascii="Garamond" w:hAnsi="Garamond"/>
          <w:i/>
        </w:rPr>
        <w:t>nec</w:t>
      </w:r>
      <w:proofErr w:type="spellEnd"/>
      <w:r w:rsidRPr="002C646E">
        <w:rPr>
          <w:rFonts w:ascii="Garamond" w:hAnsi="Garamond"/>
          <w:i/>
        </w:rPr>
        <w:t xml:space="preserve"> manifestum</w:t>
      </w:r>
      <w:r>
        <w:rPr>
          <w:rFonts w:ascii="Garamond" w:hAnsi="Garamond"/>
        </w:rPr>
        <w:t>),</w:t>
      </w:r>
      <w:r w:rsidRPr="002C646E">
        <w:rPr>
          <w:rStyle w:val="Refdenotaalpie"/>
          <w:rFonts w:ascii="Garamond" w:hAnsi="Garamond"/>
        </w:rPr>
        <w:footnoteReference w:id="105"/>
      </w:r>
      <w:r w:rsidRPr="002C646E">
        <w:rPr>
          <w:rFonts w:ascii="Garamond" w:hAnsi="Garamond"/>
        </w:rPr>
        <w:t xml:space="preserve"> </w:t>
      </w:r>
      <w:r>
        <w:rPr>
          <w:rFonts w:ascii="Garamond" w:hAnsi="Garamond"/>
        </w:rPr>
        <w:t xml:space="preserve">a este </w:t>
      </w:r>
      <w:r w:rsidRPr="002C646E">
        <w:rPr>
          <w:rFonts w:ascii="Garamond" w:hAnsi="Garamond"/>
        </w:rPr>
        <w:t xml:space="preserve">último, </w:t>
      </w:r>
      <w:r w:rsidR="000C4197">
        <w:rPr>
          <w:rFonts w:ascii="Garamond" w:hAnsi="Garamond"/>
        </w:rPr>
        <w:t xml:space="preserve">se imponía </w:t>
      </w:r>
      <w:r w:rsidRPr="002C646E">
        <w:rPr>
          <w:rFonts w:ascii="Garamond" w:hAnsi="Garamond"/>
        </w:rPr>
        <w:t>desde la Ley de las XII Tablas</w:t>
      </w:r>
      <w:r>
        <w:rPr>
          <w:rFonts w:ascii="Garamond" w:hAnsi="Garamond"/>
        </w:rPr>
        <w:t xml:space="preserve"> </w:t>
      </w:r>
      <w:r w:rsidRPr="002C646E">
        <w:rPr>
          <w:rFonts w:ascii="Garamond" w:hAnsi="Garamond"/>
        </w:rPr>
        <w:t>la pena del doble del valor de la cosa</w:t>
      </w:r>
      <w:r>
        <w:rPr>
          <w:rFonts w:ascii="Garamond" w:hAnsi="Garamond"/>
        </w:rPr>
        <w:t>, reservándose</w:t>
      </w:r>
      <w:r w:rsidRPr="002C646E">
        <w:rPr>
          <w:rFonts w:ascii="Garamond" w:hAnsi="Garamond"/>
        </w:rPr>
        <w:t xml:space="preserve"> para el hurto flagrante</w:t>
      </w:r>
      <w:r>
        <w:rPr>
          <w:rFonts w:ascii="Garamond" w:hAnsi="Garamond"/>
        </w:rPr>
        <w:t xml:space="preserve"> –en último término– una sanción </w:t>
      </w:r>
      <w:r w:rsidRPr="002C646E">
        <w:rPr>
          <w:rFonts w:ascii="Garamond" w:hAnsi="Garamond"/>
        </w:rPr>
        <w:t>del cuádruplo del valor de la cosa.</w:t>
      </w:r>
      <w:bookmarkStart w:id="37" w:name="_Ref7388914"/>
      <w:r w:rsidRPr="002C646E">
        <w:rPr>
          <w:rStyle w:val="Refdenotaalpie"/>
          <w:rFonts w:ascii="Garamond" w:hAnsi="Garamond"/>
        </w:rPr>
        <w:footnoteReference w:id="106"/>
      </w:r>
      <w:bookmarkEnd w:id="37"/>
      <w:r w:rsidRPr="002C646E">
        <w:rPr>
          <w:rFonts w:ascii="Garamond" w:hAnsi="Garamond"/>
        </w:rPr>
        <w:t xml:space="preserve"> </w:t>
      </w:r>
    </w:p>
    <w:p w:rsidR="00E229F1" w:rsidRPr="002C646E" w:rsidRDefault="00E229F1" w:rsidP="00AC39E1">
      <w:pPr>
        <w:ind w:firstLine="142"/>
        <w:rPr>
          <w:rFonts w:ascii="Garamond" w:hAnsi="Garamond"/>
        </w:rPr>
      </w:pPr>
      <w:r w:rsidRPr="002C646E">
        <w:rPr>
          <w:rFonts w:ascii="Garamond" w:hAnsi="Garamond"/>
        </w:rPr>
        <w:t xml:space="preserve">De otro lado, el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omano no sólo concedió acción de hurto en contra del autor propiamente tal, sino que también exten</w:t>
      </w:r>
      <w:bookmarkStart w:id="38" w:name="_Ref522893099"/>
      <w:r>
        <w:rPr>
          <w:rFonts w:ascii="Garamond" w:hAnsi="Garamond"/>
        </w:rPr>
        <w:t>dió el castigo a los partícipes,</w:t>
      </w:r>
      <w:r w:rsidRPr="002C646E">
        <w:rPr>
          <w:rStyle w:val="Refdenotaalpie"/>
          <w:rFonts w:ascii="Garamond" w:hAnsi="Garamond"/>
        </w:rPr>
        <w:footnoteReference w:id="107"/>
      </w:r>
      <w:bookmarkEnd w:id="38"/>
      <w:r>
        <w:rPr>
          <w:rFonts w:ascii="Garamond" w:hAnsi="Garamond"/>
        </w:rPr>
        <w:t xml:space="preserve"> </w:t>
      </w:r>
      <w:r w:rsidR="000C4197">
        <w:rPr>
          <w:rFonts w:ascii="Garamond" w:hAnsi="Garamond"/>
        </w:rPr>
        <w:t>ya que</w:t>
      </w:r>
      <w:r>
        <w:rPr>
          <w:rFonts w:ascii="Garamond" w:hAnsi="Garamond"/>
        </w:rPr>
        <w:t xml:space="preserve"> también </w:t>
      </w:r>
      <w:r w:rsidR="000C4197">
        <w:rPr>
          <w:rFonts w:ascii="Garamond" w:hAnsi="Garamond"/>
        </w:rPr>
        <w:t xml:space="preserve">se dirigía </w:t>
      </w:r>
      <w:r>
        <w:rPr>
          <w:rFonts w:ascii="Garamond" w:hAnsi="Garamond"/>
        </w:rPr>
        <w:t>contra el instigador y el auxiliador material.</w:t>
      </w:r>
      <w:bookmarkStart w:id="39" w:name="_Ref8907536"/>
      <w:r w:rsidRPr="002C646E">
        <w:rPr>
          <w:rStyle w:val="Refdenotaalpie"/>
          <w:rFonts w:ascii="Garamond" w:hAnsi="Garamond"/>
        </w:rPr>
        <w:footnoteReference w:id="108"/>
      </w:r>
      <w:bookmarkEnd w:id="39"/>
      <w:r w:rsidRPr="002C646E">
        <w:rPr>
          <w:rFonts w:ascii="Garamond" w:hAnsi="Garamond"/>
        </w:rPr>
        <w:t xml:space="preserve"> </w:t>
      </w:r>
      <w:r>
        <w:rPr>
          <w:rFonts w:ascii="Garamond" w:hAnsi="Garamond"/>
        </w:rPr>
        <w:t>Aunque</w:t>
      </w:r>
      <w:r w:rsidRPr="002C646E">
        <w:rPr>
          <w:rFonts w:ascii="Garamond" w:hAnsi="Garamond"/>
        </w:rPr>
        <w:t xml:space="preserve"> las consecuencias jurídicas previstas no diferían </w:t>
      </w:r>
      <w:r w:rsidR="000C4197">
        <w:rPr>
          <w:rFonts w:ascii="Garamond" w:hAnsi="Garamond"/>
        </w:rPr>
        <w:t>entre</w:t>
      </w:r>
      <w:r w:rsidRPr="002C646E">
        <w:rPr>
          <w:rFonts w:ascii="Garamond" w:hAnsi="Garamond"/>
        </w:rPr>
        <w:t xml:space="preserve"> autores y partícipes, </w:t>
      </w:r>
      <w:r>
        <w:rPr>
          <w:rFonts w:ascii="Garamond" w:hAnsi="Garamond"/>
        </w:rPr>
        <w:t xml:space="preserve">quedando </w:t>
      </w:r>
      <w:r w:rsidRPr="002C646E">
        <w:rPr>
          <w:rFonts w:ascii="Garamond" w:hAnsi="Garamond"/>
        </w:rPr>
        <w:t>unos y otros sujetos fundamentalmente al mismo régimen</w:t>
      </w:r>
      <w:r>
        <w:rPr>
          <w:rFonts w:ascii="Garamond" w:hAnsi="Garamond"/>
        </w:rPr>
        <w:t>,</w:t>
      </w:r>
      <w:r w:rsidRPr="002C646E">
        <w:rPr>
          <w:rStyle w:val="Refdenotaalpie"/>
          <w:rFonts w:ascii="Garamond" w:hAnsi="Garamond"/>
        </w:rPr>
        <w:footnoteReference w:id="109"/>
      </w:r>
      <w:r w:rsidRPr="002C646E">
        <w:rPr>
          <w:rFonts w:ascii="Garamond" w:hAnsi="Garamond"/>
        </w:rPr>
        <w:t xml:space="preserve"> la sanción de los partícipes exigía que el autor alcanzara a consumar el delito, aun cuando existiese un obstáculo para perseguir la responsabilidad del autor,</w:t>
      </w:r>
      <w:r w:rsidRPr="002C646E">
        <w:rPr>
          <w:rStyle w:val="Refdenotaalpie"/>
          <w:rFonts w:ascii="Garamond" w:hAnsi="Garamond"/>
        </w:rPr>
        <w:footnoteReference w:id="110"/>
      </w:r>
      <w:r w:rsidRPr="002C646E">
        <w:rPr>
          <w:rFonts w:ascii="Garamond" w:hAnsi="Garamond"/>
        </w:rPr>
        <w:t xml:space="preserve"> como ocurre en los casos de los que se hacen cargo las fuentes que aquí analizamos. </w:t>
      </w:r>
    </w:p>
    <w:p w:rsidR="00E229F1" w:rsidRPr="002C646E" w:rsidRDefault="00E229F1" w:rsidP="00AC39E1">
      <w:pPr>
        <w:ind w:firstLine="142"/>
        <w:rPr>
          <w:rFonts w:ascii="Garamond" w:hAnsi="Garamond"/>
        </w:rPr>
      </w:pPr>
    </w:p>
    <w:p w:rsidR="00E229F1" w:rsidRPr="008D2F2B" w:rsidRDefault="00E229F1" w:rsidP="00E229F1">
      <w:pPr>
        <w:pStyle w:val="Prrafodelista"/>
        <w:ind w:left="0" w:firstLine="284"/>
        <w:rPr>
          <w:rFonts w:ascii="Garamond" w:hAnsi="Garamond"/>
        </w:rPr>
      </w:pPr>
      <w:r w:rsidRPr="00FA7A25">
        <w:rPr>
          <w:rFonts w:ascii="Garamond" w:hAnsi="Garamond"/>
        </w:rPr>
        <w:lastRenderedPageBreak/>
        <w:t xml:space="preserve">4. </w:t>
      </w:r>
      <w:r w:rsidRPr="00FA7A25">
        <w:rPr>
          <w:rFonts w:ascii="Garamond" w:hAnsi="Garamond"/>
          <w:i/>
        </w:rPr>
        <w:t>Fundamentos de la exclusión de la acción de hurto</w:t>
      </w:r>
    </w:p>
    <w:p w:rsidR="00E229F1" w:rsidRPr="002C646E" w:rsidRDefault="00E229F1" w:rsidP="00AC39E1">
      <w:pPr>
        <w:ind w:firstLine="142"/>
        <w:rPr>
          <w:rFonts w:ascii="Garamond" w:hAnsi="Garamond"/>
        </w:rPr>
      </w:pPr>
      <w:r>
        <w:rPr>
          <w:rFonts w:ascii="Garamond" w:hAnsi="Garamond"/>
        </w:rPr>
        <w:t xml:space="preserve">Con la intervención plural en el </w:t>
      </w:r>
      <w:r w:rsidRPr="00E051DD">
        <w:rPr>
          <w:rFonts w:ascii="Garamond" w:hAnsi="Garamond"/>
          <w:i/>
        </w:rPr>
        <w:t>furtum</w:t>
      </w:r>
      <w:r>
        <w:rPr>
          <w:rFonts w:ascii="Garamond" w:hAnsi="Garamond"/>
        </w:rPr>
        <w:t xml:space="preserve"> como telón de fondo, la interrogante </w:t>
      </w:r>
      <w:r w:rsidR="00FA7A25">
        <w:rPr>
          <w:rFonts w:ascii="Garamond" w:hAnsi="Garamond"/>
        </w:rPr>
        <w:t xml:space="preserve">recae sobre </w:t>
      </w:r>
      <w:r>
        <w:rPr>
          <w:rFonts w:ascii="Garamond" w:hAnsi="Garamond"/>
        </w:rPr>
        <w:t xml:space="preserve">los </w:t>
      </w:r>
      <w:r w:rsidRPr="002C646E">
        <w:rPr>
          <w:rFonts w:ascii="Garamond" w:hAnsi="Garamond"/>
        </w:rPr>
        <w:t xml:space="preserve">motivos </w:t>
      </w:r>
      <w:r>
        <w:rPr>
          <w:rFonts w:ascii="Garamond" w:hAnsi="Garamond"/>
        </w:rPr>
        <w:t>que conducía</w:t>
      </w:r>
      <w:r w:rsidRPr="002C646E">
        <w:rPr>
          <w:rFonts w:ascii="Garamond" w:hAnsi="Garamond"/>
        </w:rPr>
        <w:t xml:space="preserve">n a negar la acción </w:t>
      </w:r>
      <w:r>
        <w:rPr>
          <w:rFonts w:ascii="Garamond" w:hAnsi="Garamond"/>
        </w:rPr>
        <w:t xml:space="preserve">en </w:t>
      </w:r>
      <w:r w:rsidRPr="002C646E">
        <w:rPr>
          <w:rFonts w:ascii="Garamond" w:hAnsi="Garamond"/>
        </w:rPr>
        <w:t xml:space="preserve">contra los </w:t>
      </w:r>
      <w:r w:rsidRPr="002C646E">
        <w:rPr>
          <w:rFonts w:ascii="Garamond" w:hAnsi="Garamond"/>
          <w:i/>
        </w:rPr>
        <w:t>intranei</w:t>
      </w:r>
      <w:r w:rsidRPr="002C646E">
        <w:rPr>
          <w:rFonts w:ascii="Garamond" w:hAnsi="Garamond"/>
        </w:rPr>
        <w:t xml:space="preserve"> en los casos de las fuentes estudiadas</w:t>
      </w:r>
      <w:r>
        <w:rPr>
          <w:rFonts w:ascii="Garamond" w:hAnsi="Garamond"/>
        </w:rPr>
        <w:t xml:space="preserve">, cuya respuesta exige </w:t>
      </w:r>
      <w:r w:rsidRPr="002C646E">
        <w:rPr>
          <w:rFonts w:ascii="Garamond" w:hAnsi="Garamond"/>
        </w:rPr>
        <w:t xml:space="preserve">distinguir entre la situación de la </w:t>
      </w:r>
      <w:r>
        <w:rPr>
          <w:rFonts w:ascii="Garamond" w:hAnsi="Garamond"/>
        </w:rPr>
        <w:t>mujer y las restantes hipótesis</w:t>
      </w:r>
      <w:r w:rsidRPr="002C646E">
        <w:rPr>
          <w:rFonts w:ascii="Garamond" w:hAnsi="Garamond"/>
        </w:rPr>
        <w:t xml:space="preserve">. </w:t>
      </w:r>
      <w:r>
        <w:rPr>
          <w:rFonts w:ascii="Garamond" w:hAnsi="Garamond"/>
        </w:rPr>
        <w:t>En efecto, tras la exclusión de la acción de hurto r</w:t>
      </w:r>
      <w:r w:rsidRPr="002C646E">
        <w:rPr>
          <w:rFonts w:ascii="Garamond" w:hAnsi="Garamond"/>
        </w:rPr>
        <w:t>especto del esclavo y del hijo de familia</w:t>
      </w:r>
      <w:r>
        <w:rPr>
          <w:rFonts w:ascii="Garamond" w:hAnsi="Garamond"/>
        </w:rPr>
        <w:t xml:space="preserve"> aparecen dos razones complementarias. La primera, de naturaleza procesal, estaba radicada en la ausencia de contrapartes:</w:t>
      </w:r>
      <w:r w:rsidRPr="002C646E">
        <w:rPr>
          <w:rStyle w:val="Refdenotaalpie"/>
          <w:rFonts w:ascii="Garamond" w:hAnsi="Garamond"/>
        </w:rPr>
        <w:footnoteReference w:id="111"/>
      </w:r>
      <w:r>
        <w:rPr>
          <w:rFonts w:ascii="Garamond" w:hAnsi="Garamond"/>
        </w:rPr>
        <w:t xml:space="preserve"> el carácter pecuniario de las sanciones</w:t>
      </w:r>
      <w:r w:rsidRPr="000B70F0">
        <w:rPr>
          <w:rStyle w:val="Refdenotaalpie"/>
          <w:rFonts w:ascii="Garamond" w:hAnsi="Garamond"/>
        </w:rPr>
        <w:footnoteReference w:id="112"/>
      </w:r>
      <w:r w:rsidRPr="002C646E">
        <w:rPr>
          <w:rFonts w:ascii="Garamond" w:hAnsi="Garamond"/>
        </w:rPr>
        <w:t xml:space="preserve"> </w:t>
      </w:r>
      <w:r>
        <w:rPr>
          <w:rFonts w:ascii="Garamond" w:hAnsi="Garamond"/>
        </w:rPr>
        <w:t>obligaba a que las consecuencias jurídicas del hurto co</w:t>
      </w:r>
      <w:r w:rsidR="0046764E">
        <w:rPr>
          <w:rFonts w:ascii="Garamond" w:hAnsi="Garamond"/>
        </w:rPr>
        <w:t>metido por el esclavo o el hijo</w:t>
      </w:r>
      <w:r>
        <w:rPr>
          <w:rFonts w:ascii="Garamond" w:hAnsi="Garamond"/>
        </w:rPr>
        <w:t xml:space="preserve"> fueran soportadas por el padre de familia,</w:t>
      </w:r>
      <w:r w:rsidRPr="002C646E">
        <w:rPr>
          <w:rStyle w:val="Refdenotaalpie"/>
          <w:rFonts w:ascii="Garamond" w:hAnsi="Garamond"/>
        </w:rPr>
        <w:footnoteReference w:id="113"/>
      </w:r>
      <w:r>
        <w:rPr>
          <w:rFonts w:ascii="Garamond" w:hAnsi="Garamond"/>
        </w:rPr>
        <w:t xml:space="preserve"> quien podría, alternativamente, pagar la multa o recurrir a la noxa, es decir, hacer entrega del interviniente a la víctima.</w:t>
      </w:r>
      <w:r w:rsidRPr="002C646E">
        <w:rPr>
          <w:rStyle w:val="Refdenotaalpie"/>
          <w:rFonts w:ascii="Garamond" w:hAnsi="Garamond"/>
        </w:rPr>
        <w:footnoteReference w:id="114"/>
      </w:r>
      <w:r>
        <w:rPr>
          <w:rFonts w:ascii="Garamond" w:hAnsi="Garamond"/>
        </w:rPr>
        <w:t xml:space="preserve"> Por lo tanto, como </w:t>
      </w:r>
      <w:r w:rsidRPr="002C646E">
        <w:rPr>
          <w:rFonts w:ascii="Garamond" w:hAnsi="Garamond"/>
        </w:rPr>
        <w:t>“demandante y demandando coincidían en una misma persona”</w:t>
      </w:r>
      <w:r>
        <w:rPr>
          <w:rFonts w:ascii="Garamond" w:hAnsi="Garamond"/>
        </w:rPr>
        <w:t>,</w:t>
      </w:r>
      <w:r w:rsidRPr="002C646E">
        <w:rPr>
          <w:rStyle w:val="Refdenotaalpie"/>
          <w:rFonts w:ascii="Garamond" w:hAnsi="Garamond"/>
        </w:rPr>
        <w:footnoteReference w:id="115"/>
      </w:r>
      <w:r w:rsidRPr="002C646E">
        <w:rPr>
          <w:rFonts w:ascii="Garamond" w:hAnsi="Garamond"/>
        </w:rPr>
        <w:t xml:space="preserve"> </w:t>
      </w:r>
      <w:r>
        <w:rPr>
          <w:rFonts w:ascii="Garamond" w:hAnsi="Garamond"/>
        </w:rPr>
        <w:t xml:space="preserve">faltaría </w:t>
      </w:r>
      <w:r w:rsidRPr="002C646E">
        <w:rPr>
          <w:rFonts w:ascii="Garamond" w:hAnsi="Garamond"/>
        </w:rPr>
        <w:t xml:space="preserve">contraparte en un proceso </w:t>
      </w:r>
      <w:r>
        <w:rPr>
          <w:rFonts w:ascii="Garamond" w:hAnsi="Garamond"/>
        </w:rPr>
        <w:t xml:space="preserve">por el </w:t>
      </w:r>
      <w:r w:rsidRPr="002C646E">
        <w:rPr>
          <w:rFonts w:ascii="Garamond" w:hAnsi="Garamond"/>
        </w:rPr>
        <w:t xml:space="preserve">hurto </w:t>
      </w:r>
      <w:r>
        <w:rPr>
          <w:rFonts w:ascii="Garamond" w:hAnsi="Garamond"/>
        </w:rPr>
        <w:t xml:space="preserve">de </w:t>
      </w:r>
      <w:r w:rsidRPr="002C646E">
        <w:rPr>
          <w:rFonts w:ascii="Garamond" w:hAnsi="Garamond"/>
        </w:rPr>
        <w:t xml:space="preserve">un hijo o un esclavo </w:t>
      </w:r>
      <w:r>
        <w:rPr>
          <w:rFonts w:ascii="Garamond" w:hAnsi="Garamond"/>
        </w:rPr>
        <w:t xml:space="preserve">en </w:t>
      </w:r>
      <w:r w:rsidRPr="002C646E">
        <w:rPr>
          <w:rFonts w:ascii="Garamond" w:hAnsi="Garamond"/>
        </w:rPr>
        <w:t>contra su padre o señor</w:t>
      </w:r>
      <w:r>
        <w:rPr>
          <w:rFonts w:ascii="Garamond" w:hAnsi="Garamond"/>
        </w:rPr>
        <w:t xml:space="preserve">. Como </w:t>
      </w:r>
      <w:r w:rsidRPr="002C646E">
        <w:rPr>
          <w:rFonts w:ascii="Garamond" w:hAnsi="Garamond"/>
        </w:rPr>
        <w:t>las cons</w:t>
      </w:r>
      <w:r>
        <w:rPr>
          <w:rFonts w:ascii="Garamond" w:hAnsi="Garamond"/>
        </w:rPr>
        <w:t>ecuencias jurídico-penales reca</w:t>
      </w:r>
      <w:r w:rsidRPr="002C646E">
        <w:rPr>
          <w:rFonts w:ascii="Garamond" w:hAnsi="Garamond"/>
        </w:rPr>
        <w:t xml:space="preserve">ían sobre </w:t>
      </w:r>
      <w:r>
        <w:rPr>
          <w:rFonts w:ascii="Garamond" w:hAnsi="Garamond"/>
        </w:rPr>
        <w:t xml:space="preserve">el </w:t>
      </w:r>
      <w:r w:rsidRPr="00E051DD">
        <w:rPr>
          <w:rFonts w:ascii="Garamond" w:hAnsi="Garamond"/>
          <w:i/>
        </w:rPr>
        <w:t>pater familias</w:t>
      </w:r>
      <w:r>
        <w:rPr>
          <w:rFonts w:ascii="Garamond" w:hAnsi="Garamond"/>
        </w:rPr>
        <w:t>, y no sobre el delincuente,</w:t>
      </w:r>
      <w:r w:rsidRPr="002C646E">
        <w:rPr>
          <w:rStyle w:val="Refdenotaalpie"/>
          <w:rFonts w:ascii="Garamond" w:hAnsi="Garamond"/>
        </w:rPr>
        <w:footnoteReference w:id="116"/>
      </w:r>
      <w:r>
        <w:rPr>
          <w:rFonts w:ascii="Garamond" w:hAnsi="Garamond"/>
        </w:rPr>
        <w:t xml:space="preserve"> surge como complemento el segundo fundamento, el que mira a </w:t>
      </w:r>
      <w:r w:rsidRPr="002C646E">
        <w:rPr>
          <w:rFonts w:ascii="Garamond" w:hAnsi="Garamond"/>
        </w:rPr>
        <w:t xml:space="preserve">las relaciones que genera el delito </w:t>
      </w:r>
      <w:r w:rsidR="0046764E">
        <w:rPr>
          <w:rFonts w:ascii="Garamond" w:hAnsi="Garamond"/>
        </w:rPr>
        <w:t xml:space="preserve">entre </w:t>
      </w:r>
      <w:r w:rsidRPr="002C646E">
        <w:rPr>
          <w:rFonts w:ascii="Garamond" w:hAnsi="Garamond"/>
        </w:rPr>
        <w:t xml:space="preserve">el sujeto </w:t>
      </w:r>
      <w:r w:rsidR="0046764E">
        <w:rPr>
          <w:rFonts w:ascii="Garamond" w:hAnsi="Garamond"/>
        </w:rPr>
        <w:t xml:space="preserve">y </w:t>
      </w:r>
      <w:r w:rsidRPr="002C646E">
        <w:rPr>
          <w:rFonts w:ascii="Garamond" w:hAnsi="Garamond"/>
        </w:rPr>
        <w:t xml:space="preserve">la persona a la que está </w:t>
      </w:r>
      <w:r>
        <w:rPr>
          <w:rFonts w:ascii="Garamond" w:hAnsi="Garamond"/>
        </w:rPr>
        <w:t>sometido</w:t>
      </w:r>
      <w:r w:rsidRPr="002C646E">
        <w:rPr>
          <w:rFonts w:ascii="Garamond" w:hAnsi="Garamond"/>
        </w:rPr>
        <w:t xml:space="preserve">. </w:t>
      </w:r>
      <w:r>
        <w:rPr>
          <w:rFonts w:ascii="Garamond" w:hAnsi="Garamond"/>
        </w:rPr>
        <w:t>E</w:t>
      </w:r>
      <w:r w:rsidRPr="002C646E">
        <w:rPr>
          <w:rFonts w:ascii="Garamond" w:hAnsi="Garamond"/>
        </w:rPr>
        <w:t xml:space="preserve">n el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 xml:space="preserve">omano, el </w:t>
      </w:r>
      <w:r w:rsidRPr="002C646E">
        <w:rPr>
          <w:rFonts w:ascii="Garamond" w:hAnsi="Garamond"/>
          <w:i/>
        </w:rPr>
        <w:t>pater familias</w:t>
      </w:r>
      <w:r w:rsidRPr="002C646E">
        <w:rPr>
          <w:rFonts w:ascii="Garamond" w:hAnsi="Garamond"/>
        </w:rPr>
        <w:t xml:space="preserve"> gozaba de la llamada potestad doméstica</w:t>
      </w:r>
      <w:r>
        <w:rPr>
          <w:rFonts w:ascii="Garamond" w:hAnsi="Garamond"/>
        </w:rPr>
        <w:t>, en cuyo ejercicio estaba autorizado</w:t>
      </w:r>
      <w:r w:rsidRPr="002C646E">
        <w:rPr>
          <w:rFonts w:ascii="Garamond" w:hAnsi="Garamond"/>
        </w:rPr>
        <w:t xml:space="preserve"> “á castigar delitos cometidos</w:t>
      </w:r>
      <w:r>
        <w:rPr>
          <w:rFonts w:ascii="Garamond" w:hAnsi="Garamond"/>
        </w:rPr>
        <w:t xml:space="preserve"> por las personas sujetas </w:t>
      </w:r>
      <w:proofErr w:type="spellStart"/>
      <w:r>
        <w:rPr>
          <w:rFonts w:ascii="Garamond" w:hAnsi="Garamond"/>
        </w:rPr>
        <w:t>á</w:t>
      </w:r>
      <w:proofErr w:type="spellEnd"/>
      <w:r>
        <w:rPr>
          <w:rFonts w:ascii="Garamond" w:hAnsi="Garamond"/>
        </w:rPr>
        <w:t xml:space="preserve"> él”.</w:t>
      </w:r>
      <w:r w:rsidRPr="002C646E">
        <w:rPr>
          <w:rStyle w:val="Refdenotaalpie"/>
          <w:rFonts w:ascii="Garamond" w:hAnsi="Garamond"/>
        </w:rPr>
        <w:footnoteReference w:id="117"/>
      </w:r>
      <w:r w:rsidRPr="002C646E">
        <w:rPr>
          <w:rFonts w:ascii="Garamond" w:hAnsi="Garamond"/>
        </w:rPr>
        <w:t xml:space="preserve"> </w:t>
      </w:r>
      <w:r>
        <w:rPr>
          <w:rFonts w:ascii="Garamond" w:hAnsi="Garamond"/>
        </w:rPr>
        <w:t>Como resultado, en estos casos, el hijo o esclavo podrían haber sido castigados en ejercicio de la potestad doméstica, actuando ésta, según los casos, como complemento de la sanción penal o en lugar de ella.</w:t>
      </w:r>
      <w:r w:rsidRPr="002C646E">
        <w:rPr>
          <w:rStyle w:val="Refdenotaalpie"/>
          <w:rFonts w:ascii="Garamond" w:hAnsi="Garamond"/>
        </w:rPr>
        <w:footnoteReference w:id="118"/>
      </w:r>
      <w:r>
        <w:rPr>
          <w:rFonts w:ascii="Garamond" w:hAnsi="Garamond"/>
        </w:rPr>
        <w:t xml:space="preserve"> Por el impedimento procesal,</w:t>
      </w:r>
      <w:r w:rsidRPr="002C646E">
        <w:rPr>
          <w:rFonts w:ascii="Garamond" w:hAnsi="Garamond"/>
        </w:rPr>
        <w:t xml:space="preserve"> </w:t>
      </w:r>
      <w:r>
        <w:rPr>
          <w:rFonts w:ascii="Garamond" w:hAnsi="Garamond"/>
        </w:rPr>
        <w:t xml:space="preserve">en último término, </w:t>
      </w:r>
      <w:r w:rsidRPr="002C646E">
        <w:rPr>
          <w:rFonts w:ascii="Garamond" w:hAnsi="Garamond"/>
        </w:rPr>
        <w:t xml:space="preserve">el hurto doméstico </w:t>
      </w:r>
      <w:r>
        <w:rPr>
          <w:rFonts w:ascii="Garamond" w:hAnsi="Garamond"/>
        </w:rPr>
        <w:t xml:space="preserve">quedaba </w:t>
      </w:r>
      <w:r w:rsidRPr="002C646E">
        <w:rPr>
          <w:rFonts w:ascii="Garamond" w:hAnsi="Garamond"/>
        </w:rPr>
        <w:t xml:space="preserve">sujeto </w:t>
      </w:r>
      <w:r>
        <w:rPr>
          <w:rFonts w:ascii="Garamond" w:hAnsi="Garamond"/>
        </w:rPr>
        <w:t xml:space="preserve">exclusivamente </w:t>
      </w:r>
      <w:r w:rsidRPr="002C646E">
        <w:rPr>
          <w:rFonts w:ascii="Garamond" w:hAnsi="Garamond"/>
        </w:rPr>
        <w:t>a la jurisdicción privada del padre o propietario.</w:t>
      </w:r>
      <w:r w:rsidRPr="002C646E">
        <w:rPr>
          <w:rStyle w:val="Refdenotaalpie"/>
          <w:rFonts w:ascii="Garamond" w:hAnsi="Garamond"/>
        </w:rPr>
        <w:footnoteReference w:id="119"/>
      </w:r>
      <w:r>
        <w:rPr>
          <w:rFonts w:ascii="Garamond" w:hAnsi="Garamond"/>
        </w:rPr>
        <w:t xml:space="preserve"> En </w:t>
      </w:r>
      <w:r w:rsidR="0046764E">
        <w:rPr>
          <w:rFonts w:ascii="Garamond" w:hAnsi="Garamond"/>
        </w:rPr>
        <w:t>suma</w:t>
      </w:r>
      <w:r>
        <w:rPr>
          <w:rFonts w:ascii="Garamond" w:hAnsi="Garamond"/>
        </w:rPr>
        <w:t xml:space="preserve">, </w:t>
      </w:r>
      <w:r w:rsidR="0046764E">
        <w:rPr>
          <w:rFonts w:ascii="Garamond" w:hAnsi="Garamond"/>
        </w:rPr>
        <w:t xml:space="preserve">en la raíz de </w:t>
      </w:r>
      <w:r>
        <w:rPr>
          <w:rFonts w:ascii="Garamond" w:hAnsi="Garamond"/>
        </w:rPr>
        <w:t xml:space="preserve">la </w:t>
      </w:r>
      <w:r w:rsidR="0046764E">
        <w:rPr>
          <w:rFonts w:ascii="Garamond" w:hAnsi="Garamond"/>
        </w:rPr>
        <w:t xml:space="preserve">improcedencia de la </w:t>
      </w:r>
      <w:r>
        <w:rPr>
          <w:rFonts w:ascii="Garamond" w:hAnsi="Garamond"/>
        </w:rPr>
        <w:t xml:space="preserve">acción </w:t>
      </w:r>
      <w:r w:rsidR="0046764E">
        <w:rPr>
          <w:rFonts w:ascii="Garamond" w:hAnsi="Garamond"/>
        </w:rPr>
        <w:t xml:space="preserve">de hurto estaban </w:t>
      </w:r>
      <w:r>
        <w:rPr>
          <w:rFonts w:ascii="Garamond" w:hAnsi="Garamond"/>
        </w:rPr>
        <w:t xml:space="preserve">la ausencia de contrapartes y </w:t>
      </w:r>
      <w:r w:rsidR="0046764E">
        <w:rPr>
          <w:rFonts w:ascii="Garamond" w:hAnsi="Garamond"/>
        </w:rPr>
        <w:t xml:space="preserve">la potestad doméstica, que </w:t>
      </w:r>
      <w:r>
        <w:rPr>
          <w:rFonts w:ascii="Garamond" w:hAnsi="Garamond"/>
        </w:rPr>
        <w:t xml:space="preserve">podía actuar como sustituto del derecho penal. </w:t>
      </w:r>
    </w:p>
    <w:p w:rsidR="00E229F1" w:rsidRPr="002C646E" w:rsidRDefault="00E229F1" w:rsidP="00AC39E1">
      <w:pPr>
        <w:ind w:firstLine="142"/>
        <w:rPr>
          <w:rFonts w:ascii="Garamond" w:hAnsi="Garamond"/>
        </w:rPr>
      </w:pPr>
      <w:r w:rsidRPr="005E3DF1">
        <w:rPr>
          <w:rFonts w:ascii="Garamond" w:hAnsi="Garamond"/>
        </w:rPr>
        <w:lastRenderedPageBreak/>
        <w:t xml:space="preserve">Ahora bien, </w:t>
      </w:r>
      <w:r>
        <w:rPr>
          <w:rFonts w:ascii="Garamond" w:hAnsi="Garamond"/>
        </w:rPr>
        <w:t>este esquema</w:t>
      </w:r>
      <w:r w:rsidRPr="005E3DF1">
        <w:rPr>
          <w:rFonts w:ascii="Garamond" w:hAnsi="Garamond"/>
        </w:rPr>
        <w:t xml:space="preserve"> no puede extenderse a la mujer, puesto que la potestad doméstica no se alza como posible reemplazo de la potestad punitiva de la colectividad. </w:t>
      </w:r>
      <w:r w:rsidR="00D551EC">
        <w:rPr>
          <w:rFonts w:ascii="Garamond" w:hAnsi="Garamond"/>
        </w:rPr>
        <w:t xml:space="preserve">En efecto, </w:t>
      </w:r>
      <w:r w:rsidRPr="005E3DF1">
        <w:rPr>
          <w:rFonts w:ascii="Garamond" w:hAnsi="Garamond"/>
        </w:rPr>
        <w:t>el ejercicio de potestades punitivas</w:t>
      </w:r>
      <w:r>
        <w:rPr>
          <w:rFonts w:ascii="Garamond" w:hAnsi="Garamond"/>
        </w:rPr>
        <w:t xml:space="preserve"> a su respecto</w:t>
      </w:r>
      <w:r w:rsidRPr="005E3DF1">
        <w:rPr>
          <w:rFonts w:ascii="Garamond" w:hAnsi="Garamond"/>
        </w:rPr>
        <w:t>, ya en tiempos históricos, habría desaparecido,</w:t>
      </w:r>
      <w:r w:rsidRPr="002C646E">
        <w:rPr>
          <w:rStyle w:val="Refdenotaalpie"/>
          <w:rFonts w:ascii="Garamond" w:hAnsi="Garamond"/>
        </w:rPr>
        <w:footnoteReference w:id="120"/>
      </w:r>
      <w:r w:rsidRPr="005E3DF1">
        <w:rPr>
          <w:rFonts w:ascii="Garamond" w:hAnsi="Garamond"/>
        </w:rPr>
        <w:t xml:space="preserve"> sin que siquiera sea claro que se haya ejercido para castigar delitos.</w:t>
      </w:r>
      <w:r w:rsidRPr="002C646E">
        <w:rPr>
          <w:rStyle w:val="Refdenotaalpie"/>
          <w:rFonts w:ascii="Garamond" w:hAnsi="Garamond"/>
        </w:rPr>
        <w:footnoteReference w:id="121"/>
      </w:r>
      <w:r w:rsidRPr="005E3DF1">
        <w:rPr>
          <w:rFonts w:ascii="Garamond" w:hAnsi="Garamond"/>
        </w:rPr>
        <w:t xml:space="preserve"> </w:t>
      </w:r>
      <w:r w:rsidRPr="00E23B64">
        <w:rPr>
          <w:rFonts w:ascii="Garamond" w:hAnsi="Garamond"/>
        </w:rPr>
        <w:t>Otras</w:t>
      </w:r>
      <w:r w:rsidRPr="005C7BF1">
        <w:rPr>
          <w:rFonts w:ascii="Garamond" w:hAnsi="Garamond"/>
        </w:rPr>
        <w:t>, por ende, han de ser las razones que conduzcan a negar la acción de hurto respecto de</w:t>
      </w:r>
      <w:r w:rsidRPr="002C646E">
        <w:rPr>
          <w:rFonts w:ascii="Garamond" w:hAnsi="Garamond"/>
        </w:rPr>
        <w:t xml:space="preserve"> la mujer. Y </w:t>
      </w:r>
      <w:r>
        <w:rPr>
          <w:rFonts w:ascii="Garamond" w:hAnsi="Garamond"/>
        </w:rPr>
        <w:t>é</w:t>
      </w:r>
      <w:r w:rsidRPr="002C646E">
        <w:rPr>
          <w:rFonts w:ascii="Garamond" w:hAnsi="Garamond"/>
        </w:rPr>
        <w:t xml:space="preserve">stas parecen </w:t>
      </w:r>
      <w:r w:rsidR="00D551EC">
        <w:rPr>
          <w:rFonts w:ascii="Garamond" w:hAnsi="Garamond"/>
        </w:rPr>
        <w:t>residir</w:t>
      </w:r>
      <w:r w:rsidRPr="002C646E">
        <w:rPr>
          <w:rFonts w:ascii="Garamond" w:hAnsi="Garamond"/>
        </w:rPr>
        <w:t xml:space="preserve"> en el carácter infamante </w:t>
      </w:r>
      <w:r w:rsidR="00D551EC">
        <w:rPr>
          <w:rFonts w:ascii="Garamond" w:hAnsi="Garamond"/>
        </w:rPr>
        <w:t>asociado a</w:t>
      </w:r>
      <w:r w:rsidRPr="002C646E">
        <w:rPr>
          <w:rFonts w:ascii="Garamond" w:hAnsi="Garamond"/>
        </w:rPr>
        <w:t xml:space="preserve">l hurto en el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omano</w:t>
      </w:r>
      <w:r>
        <w:rPr>
          <w:rFonts w:ascii="Garamond" w:hAnsi="Garamond"/>
        </w:rPr>
        <w:t>,</w:t>
      </w:r>
      <w:r w:rsidRPr="002C646E">
        <w:rPr>
          <w:rStyle w:val="Refdenotaalpie"/>
          <w:rFonts w:ascii="Garamond" w:hAnsi="Garamond"/>
        </w:rPr>
        <w:footnoteReference w:id="122"/>
      </w:r>
      <w:r w:rsidRPr="002C646E">
        <w:rPr>
          <w:rFonts w:ascii="Garamond" w:hAnsi="Garamond"/>
        </w:rPr>
        <w:t xml:space="preserve"> </w:t>
      </w:r>
      <w:r>
        <w:rPr>
          <w:rFonts w:ascii="Garamond" w:hAnsi="Garamond"/>
        </w:rPr>
        <w:t>el que hacía incompatible con las buenas costumbres el ejercicio de la acción de hurto en contra del cónyuge.</w:t>
      </w:r>
      <w:r w:rsidRPr="002C646E">
        <w:rPr>
          <w:rStyle w:val="Refdenotaalpie"/>
          <w:rFonts w:ascii="Garamond" w:hAnsi="Garamond"/>
        </w:rPr>
        <w:footnoteReference w:id="123"/>
      </w:r>
      <w:r w:rsidRPr="002C646E">
        <w:rPr>
          <w:rFonts w:ascii="Garamond" w:hAnsi="Garamond"/>
        </w:rPr>
        <w:t xml:space="preserve"> </w:t>
      </w:r>
      <w:r w:rsidR="00D551EC">
        <w:rPr>
          <w:rFonts w:ascii="Garamond" w:hAnsi="Garamond"/>
        </w:rPr>
        <w:t>E</w:t>
      </w:r>
      <w:r>
        <w:rPr>
          <w:rFonts w:ascii="Garamond" w:hAnsi="Garamond"/>
        </w:rPr>
        <w:t xml:space="preserve">n </w:t>
      </w:r>
      <w:r w:rsidR="00D551EC">
        <w:rPr>
          <w:rFonts w:ascii="Garamond" w:hAnsi="Garamond"/>
        </w:rPr>
        <w:t xml:space="preserve">este caso, por lo demás, </w:t>
      </w:r>
      <w:r>
        <w:rPr>
          <w:rFonts w:ascii="Garamond" w:hAnsi="Garamond"/>
        </w:rPr>
        <w:t xml:space="preserve">el </w:t>
      </w:r>
      <w:r w:rsidRPr="002C646E">
        <w:rPr>
          <w:rFonts w:ascii="Garamond" w:hAnsi="Garamond"/>
        </w:rPr>
        <w:t xml:space="preserve">impedimento procesal </w:t>
      </w:r>
      <w:r>
        <w:rPr>
          <w:rFonts w:ascii="Garamond" w:hAnsi="Garamond"/>
        </w:rPr>
        <w:t xml:space="preserve">no existía, como deja en evidencia la concesión de una </w:t>
      </w:r>
      <w:r w:rsidRPr="002C646E">
        <w:rPr>
          <w:rFonts w:ascii="Garamond" w:hAnsi="Garamond"/>
        </w:rPr>
        <w:t>acci</w:t>
      </w:r>
      <w:r>
        <w:rPr>
          <w:rFonts w:ascii="Garamond" w:hAnsi="Garamond"/>
        </w:rPr>
        <w:t>ón</w:t>
      </w:r>
      <w:r w:rsidRPr="002C646E">
        <w:rPr>
          <w:rFonts w:ascii="Garamond" w:hAnsi="Garamond"/>
        </w:rPr>
        <w:t xml:space="preserve"> </w:t>
      </w:r>
      <w:r>
        <w:rPr>
          <w:rFonts w:ascii="Garamond" w:hAnsi="Garamond"/>
        </w:rPr>
        <w:t>no penal</w:t>
      </w:r>
      <w:r w:rsidRPr="002C646E">
        <w:rPr>
          <w:rFonts w:ascii="Garamond" w:hAnsi="Garamond"/>
        </w:rPr>
        <w:t xml:space="preserve"> al marido respecto la mujer</w:t>
      </w:r>
      <w:r>
        <w:rPr>
          <w:rFonts w:ascii="Garamond" w:hAnsi="Garamond"/>
        </w:rPr>
        <w:t>:</w:t>
      </w:r>
      <w:r w:rsidRPr="002C646E">
        <w:rPr>
          <w:rFonts w:ascii="Garamond" w:hAnsi="Garamond"/>
        </w:rPr>
        <w:t xml:space="preserve"> la </w:t>
      </w:r>
      <w:proofErr w:type="spellStart"/>
      <w:r w:rsidRPr="002C646E">
        <w:rPr>
          <w:rFonts w:ascii="Garamond" w:hAnsi="Garamond"/>
          <w:i/>
        </w:rPr>
        <w:t>actio</w:t>
      </w:r>
      <w:proofErr w:type="spellEnd"/>
      <w:r w:rsidRPr="002C646E">
        <w:rPr>
          <w:rFonts w:ascii="Garamond" w:hAnsi="Garamond"/>
          <w:i/>
        </w:rPr>
        <w:t xml:space="preserve"> </w:t>
      </w:r>
      <w:proofErr w:type="spellStart"/>
      <w:r w:rsidRPr="002C646E">
        <w:rPr>
          <w:rFonts w:ascii="Garamond" w:hAnsi="Garamond"/>
          <w:i/>
        </w:rPr>
        <w:t>rerum</w:t>
      </w:r>
      <w:proofErr w:type="spellEnd"/>
      <w:r w:rsidRPr="002C646E">
        <w:rPr>
          <w:rFonts w:ascii="Garamond" w:hAnsi="Garamond"/>
          <w:i/>
        </w:rPr>
        <w:t xml:space="preserve"> </w:t>
      </w:r>
      <w:proofErr w:type="spellStart"/>
      <w:r w:rsidRPr="002C646E">
        <w:rPr>
          <w:rFonts w:ascii="Garamond" w:hAnsi="Garamond"/>
          <w:i/>
        </w:rPr>
        <w:t>amotarum</w:t>
      </w:r>
      <w:proofErr w:type="spellEnd"/>
      <w:r w:rsidRPr="002C646E">
        <w:rPr>
          <w:rFonts w:ascii="Garamond" w:hAnsi="Garamond"/>
          <w:i/>
        </w:rPr>
        <w:t xml:space="preserve"> </w:t>
      </w:r>
      <w:r w:rsidRPr="002C646E">
        <w:rPr>
          <w:rFonts w:ascii="Garamond" w:hAnsi="Garamond"/>
        </w:rPr>
        <w:t>(acción de cosas amovidas).</w:t>
      </w:r>
      <w:r w:rsidRPr="002C646E">
        <w:rPr>
          <w:rStyle w:val="Refdenotaalpie"/>
          <w:rFonts w:ascii="Garamond" w:hAnsi="Garamond"/>
        </w:rPr>
        <w:footnoteReference w:id="124"/>
      </w:r>
      <w:r w:rsidRPr="002C646E">
        <w:rPr>
          <w:rFonts w:ascii="Garamond" w:hAnsi="Garamond"/>
        </w:rPr>
        <w:t xml:space="preserve"> </w:t>
      </w:r>
      <w:r>
        <w:rPr>
          <w:rFonts w:ascii="Garamond" w:hAnsi="Garamond"/>
        </w:rPr>
        <w:t>Por ende, en el caso de la mujer, su carácter infamante impedía el ejercicio de la acción de hurto, debiendo recurrirse a remedios civiles.</w:t>
      </w:r>
      <w:r>
        <w:rPr>
          <w:rStyle w:val="Refdenotaalpie"/>
          <w:rFonts w:ascii="Garamond" w:hAnsi="Garamond"/>
        </w:rPr>
        <w:footnoteReference w:id="125"/>
      </w:r>
    </w:p>
    <w:p w:rsidR="00E229F1" w:rsidRPr="002C646E" w:rsidRDefault="00E229F1" w:rsidP="00AC39E1">
      <w:pPr>
        <w:ind w:firstLine="142"/>
        <w:rPr>
          <w:rFonts w:ascii="Garamond" w:hAnsi="Garamond"/>
        </w:rPr>
      </w:pPr>
      <w:r w:rsidRPr="002C646E">
        <w:rPr>
          <w:rFonts w:ascii="Garamond" w:hAnsi="Garamond"/>
        </w:rPr>
        <w:t xml:space="preserve">En conclusión, en los casos en que las fuentes romanas se decantan por la incomunicabilidad, la exención está asociada, en un plano general, al efecto de las relaciones de familia en la responsabilidad penal por hurto, la que es consecuencia de consideraciones procesales (falta de contraparte en el proceso penal) y materiales (la familia abre opciones asociadas a la potestad doméstica y clausura el recurso a acciones que supongan consecuencias incompatibles con </w:t>
      </w:r>
      <w:r>
        <w:rPr>
          <w:rFonts w:ascii="Garamond" w:hAnsi="Garamond"/>
        </w:rPr>
        <w:t>los vínculos que ella engendra</w:t>
      </w:r>
      <w:r w:rsidRPr="002C646E">
        <w:rPr>
          <w:rFonts w:ascii="Garamond" w:hAnsi="Garamond"/>
        </w:rPr>
        <w:t xml:space="preserve">). </w:t>
      </w:r>
    </w:p>
    <w:p w:rsidR="00E229F1" w:rsidRPr="002C646E" w:rsidRDefault="00E229F1" w:rsidP="00AC39E1">
      <w:pPr>
        <w:ind w:firstLine="142"/>
        <w:rPr>
          <w:rFonts w:ascii="Garamond" w:hAnsi="Garamond"/>
        </w:rPr>
      </w:pPr>
    </w:p>
    <w:p w:rsidR="00E229F1" w:rsidRPr="00F21772" w:rsidRDefault="00E229F1" w:rsidP="00E229F1">
      <w:pPr>
        <w:pStyle w:val="Prrafodelista"/>
        <w:ind w:left="0" w:firstLine="284"/>
        <w:jc w:val="left"/>
        <w:rPr>
          <w:rFonts w:ascii="Garamond" w:hAnsi="Garamond"/>
        </w:rPr>
      </w:pPr>
      <w:r>
        <w:rPr>
          <w:rFonts w:ascii="Garamond" w:hAnsi="Garamond"/>
        </w:rPr>
        <w:t>5.</w:t>
      </w:r>
      <w:r w:rsidRPr="00F21772">
        <w:rPr>
          <w:rFonts w:ascii="Garamond" w:hAnsi="Garamond"/>
        </w:rPr>
        <w:t xml:space="preserve"> </w:t>
      </w:r>
      <w:r w:rsidRPr="0048109E">
        <w:rPr>
          <w:rFonts w:ascii="Garamond" w:hAnsi="Garamond"/>
          <w:i/>
        </w:rPr>
        <w:t>Los casos de las fuentes romanas en el derecho chileno vigente</w:t>
      </w:r>
    </w:p>
    <w:p w:rsidR="00E229F1" w:rsidRPr="002C646E" w:rsidRDefault="00E229F1" w:rsidP="00AC39E1">
      <w:pPr>
        <w:ind w:firstLine="142"/>
        <w:rPr>
          <w:rFonts w:ascii="Garamond" w:hAnsi="Garamond"/>
        </w:rPr>
      </w:pPr>
      <w:r w:rsidRPr="002C646E">
        <w:rPr>
          <w:rFonts w:ascii="Garamond" w:hAnsi="Garamond"/>
        </w:rPr>
        <w:t>La</w:t>
      </w:r>
      <w:r>
        <w:rPr>
          <w:rFonts w:ascii="Garamond" w:hAnsi="Garamond"/>
        </w:rPr>
        <w:t xml:space="preserve"> </w:t>
      </w:r>
      <w:r w:rsidR="00833F7C">
        <w:rPr>
          <w:rFonts w:ascii="Garamond" w:hAnsi="Garamond"/>
        </w:rPr>
        <w:t xml:space="preserve">misma </w:t>
      </w:r>
      <w:r>
        <w:rPr>
          <w:rFonts w:ascii="Garamond" w:hAnsi="Garamond"/>
        </w:rPr>
        <w:t xml:space="preserve">lógica, en torno a la cual </w:t>
      </w:r>
      <w:r w:rsidRPr="002C646E">
        <w:rPr>
          <w:rFonts w:ascii="Garamond" w:hAnsi="Garamond"/>
        </w:rPr>
        <w:t xml:space="preserve">el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om</w:t>
      </w:r>
      <w:r>
        <w:rPr>
          <w:rFonts w:ascii="Garamond" w:hAnsi="Garamond"/>
        </w:rPr>
        <w:t>ano previó la incomunicabilidad</w:t>
      </w:r>
      <w:r w:rsidR="00833F7C">
        <w:rPr>
          <w:rFonts w:ascii="Garamond" w:hAnsi="Garamond"/>
        </w:rPr>
        <w:t xml:space="preserve"> en el </w:t>
      </w:r>
      <w:r w:rsidR="00833F7C" w:rsidRPr="00833F7C">
        <w:rPr>
          <w:rFonts w:ascii="Garamond" w:hAnsi="Garamond"/>
          <w:i/>
        </w:rPr>
        <w:t>furtum</w:t>
      </w:r>
      <w:r>
        <w:rPr>
          <w:rFonts w:ascii="Garamond" w:hAnsi="Garamond"/>
        </w:rPr>
        <w:t xml:space="preserve">, </w:t>
      </w:r>
      <w:r w:rsidRPr="002C646E">
        <w:rPr>
          <w:rFonts w:ascii="Garamond" w:hAnsi="Garamond"/>
        </w:rPr>
        <w:t xml:space="preserve">sigue siendo un obstáculo para el surgimiento de la responsabilidad penal en nuestro </w:t>
      </w:r>
      <w:r>
        <w:rPr>
          <w:rFonts w:ascii="Garamond" w:hAnsi="Garamond"/>
        </w:rPr>
        <w:t>d</w:t>
      </w:r>
      <w:r w:rsidRPr="002C646E">
        <w:rPr>
          <w:rFonts w:ascii="Garamond" w:hAnsi="Garamond"/>
        </w:rPr>
        <w:t>erecho. E</w:t>
      </w:r>
      <w:r>
        <w:rPr>
          <w:rFonts w:ascii="Garamond" w:hAnsi="Garamond"/>
        </w:rPr>
        <w:t>n e</w:t>
      </w:r>
      <w:r w:rsidRPr="002C646E">
        <w:rPr>
          <w:rFonts w:ascii="Garamond" w:hAnsi="Garamond"/>
        </w:rPr>
        <w:t xml:space="preserve">l Código Penal chileno </w:t>
      </w:r>
      <w:r>
        <w:rPr>
          <w:rFonts w:ascii="Garamond" w:hAnsi="Garamond"/>
        </w:rPr>
        <w:t xml:space="preserve">aparece en el </w:t>
      </w:r>
      <w:r w:rsidRPr="002C646E">
        <w:rPr>
          <w:rFonts w:ascii="Garamond" w:hAnsi="Garamond"/>
        </w:rPr>
        <w:t xml:space="preserve">artículo 489, disposición que exime de responsabilidad penal por hurtos, daños y defraudaciones que se causaren recíprocamente ciertos </w:t>
      </w:r>
      <w:r>
        <w:rPr>
          <w:rFonts w:ascii="Garamond" w:hAnsi="Garamond"/>
        </w:rPr>
        <w:t>familiares</w:t>
      </w:r>
      <w:r w:rsidRPr="002C646E">
        <w:rPr>
          <w:rFonts w:ascii="Garamond" w:hAnsi="Garamond"/>
        </w:rPr>
        <w:t xml:space="preserve">, estableciendo una regla de incomunicabilidad del beneficio para los extraños que </w:t>
      </w:r>
      <w:r>
        <w:rPr>
          <w:rFonts w:ascii="Garamond" w:hAnsi="Garamond"/>
        </w:rPr>
        <w:t xml:space="preserve">intervengan </w:t>
      </w:r>
      <w:r w:rsidRPr="002C646E">
        <w:rPr>
          <w:rFonts w:ascii="Garamond" w:hAnsi="Garamond"/>
        </w:rPr>
        <w:t>y dejando a salvo la responsabilidad civil</w:t>
      </w:r>
      <w:r>
        <w:rPr>
          <w:rFonts w:ascii="Garamond" w:hAnsi="Garamond"/>
        </w:rPr>
        <w:t>,</w:t>
      </w:r>
      <w:r w:rsidRPr="002C646E">
        <w:rPr>
          <w:rFonts w:ascii="Garamond" w:hAnsi="Garamond"/>
        </w:rPr>
        <w:t xml:space="preserve"> tal como ocurría en </w:t>
      </w:r>
      <w:r>
        <w:rPr>
          <w:rFonts w:ascii="Garamond" w:hAnsi="Garamond"/>
        </w:rPr>
        <w:t>Roma</w:t>
      </w:r>
      <w:r w:rsidRPr="002C646E">
        <w:rPr>
          <w:rFonts w:ascii="Garamond" w:hAnsi="Garamond"/>
        </w:rPr>
        <w:t>.</w:t>
      </w:r>
      <w:bookmarkStart w:id="40" w:name="_Ref7390220"/>
      <w:r w:rsidRPr="002C646E">
        <w:rPr>
          <w:rStyle w:val="Refdenotaalpie"/>
          <w:rFonts w:ascii="Garamond" w:hAnsi="Garamond"/>
        </w:rPr>
        <w:footnoteReference w:id="126"/>
      </w:r>
      <w:bookmarkEnd w:id="40"/>
      <w:r>
        <w:rPr>
          <w:rFonts w:ascii="Garamond" w:hAnsi="Garamond"/>
        </w:rPr>
        <w:t xml:space="preserve"> Nuestro derecho recoge aquellos </w:t>
      </w:r>
      <w:r w:rsidRPr="00262537">
        <w:rPr>
          <w:rFonts w:ascii="Garamond" w:hAnsi="Garamond"/>
        </w:rPr>
        <w:t xml:space="preserve">casos a los que las fuentes romanas arreglaban la incomunicabilidad de la exención de responsabilidad por </w:t>
      </w:r>
      <w:r w:rsidR="00833F7C" w:rsidRPr="00833F7C">
        <w:rPr>
          <w:rFonts w:ascii="Garamond" w:hAnsi="Garamond"/>
          <w:i/>
        </w:rPr>
        <w:t>furtum</w:t>
      </w:r>
      <w:r w:rsidRPr="00262537">
        <w:rPr>
          <w:rFonts w:ascii="Garamond" w:hAnsi="Garamond"/>
        </w:rPr>
        <w:t xml:space="preserve"> </w:t>
      </w:r>
      <w:r>
        <w:rPr>
          <w:rFonts w:ascii="Garamond" w:hAnsi="Garamond"/>
        </w:rPr>
        <w:t>en la forma de una excusa legal absolutoria</w:t>
      </w:r>
      <w:r w:rsidRPr="002C646E">
        <w:rPr>
          <w:rFonts w:ascii="Garamond" w:hAnsi="Garamond"/>
        </w:rPr>
        <w:t>,</w:t>
      </w:r>
      <w:r w:rsidRPr="002C646E">
        <w:rPr>
          <w:rStyle w:val="Refdenotaalpie"/>
          <w:rFonts w:ascii="Garamond" w:hAnsi="Garamond"/>
        </w:rPr>
        <w:footnoteReference w:id="127"/>
      </w:r>
      <w:r w:rsidRPr="002C646E">
        <w:rPr>
          <w:rFonts w:ascii="Garamond" w:hAnsi="Garamond"/>
        </w:rPr>
        <w:t xml:space="preserve"> es decir, uno de aquell</w:t>
      </w:r>
      <w:r w:rsidR="00833F7C">
        <w:rPr>
          <w:rFonts w:ascii="Garamond" w:hAnsi="Garamond"/>
        </w:rPr>
        <w:t>a</w:t>
      </w:r>
      <w:r w:rsidRPr="002C646E">
        <w:rPr>
          <w:rFonts w:ascii="Garamond" w:hAnsi="Garamond"/>
        </w:rPr>
        <w:t>s extrañ</w:t>
      </w:r>
      <w:r w:rsidR="00833F7C">
        <w:rPr>
          <w:rFonts w:ascii="Garamond" w:hAnsi="Garamond"/>
        </w:rPr>
        <w:t>a</w:t>
      </w:r>
      <w:r w:rsidRPr="002C646E">
        <w:rPr>
          <w:rFonts w:ascii="Garamond" w:hAnsi="Garamond"/>
        </w:rPr>
        <w:t xml:space="preserve">s </w:t>
      </w:r>
      <w:r w:rsidR="00833F7C">
        <w:rPr>
          <w:rFonts w:ascii="Garamond" w:hAnsi="Garamond"/>
        </w:rPr>
        <w:t xml:space="preserve">hipótesis </w:t>
      </w:r>
      <w:r w:rsidRPr="002C646E">
        <w:rPr>
          <w:rFonts w:ascii="Garamond" w:hAnsi="Garamond"/>
        </w:rPr>
        <w:t>en que “se configura el delito, pero éste no es punible.”</w:t>
      </w:r>
      <w:r w:rsidRPr="002C646E">
        <w:rPr>
          <w:rStyle w:val="Refdenotaalpie"/>
          <w:rFonts w:ascii="Garamond" w:hAnsi="Garamond"/>
        </w:rPr>
        <w:footnoteReference w:id="128"/>
      </w:r>
      <w:r w:rsidRPr="002C646E">
        <w:rPr>
          <w:rFonts w:ascii="Garamond" w:hAnsi="Garamond"/>
        </w:rPr>
        <w:t xml:space="preserve"> Aunque el obstáculo </w:t>
      </w:r>
      <w:r w:rsidRPr="002C646E">
        <w:rPr>
          <w:rFonts w:ascii="Garamond" w:hAnsi="Garamond"/>
        </w:rPr>
        <w:lastRenderedPageBreak/>
        <w:t>procesal no resulta aplicable hoy,</w:t>
      </w:r>
      <w:r w:rsidRPr="002C646E">
        <w:rPr>
          <w:rStyle w:val="Refdenotaalpie"/>
          <w:rFonts w:ascii="Garamond" w:hAnsi="Garamond"/>
        </w:rPr>
        <w:footnoteReference w:id="129"/>
      </w:r>
      <w:r w:rsidRPr="002C646E">
        <w:rPr>
          <w:rFonts w:ascii="Garamond" w:hAnsi="Garamond"/>
        </w:rPr>
        <w:t xml:space="preserve"> los fundamentos</w:t>
      </w:r>
      <w:r>
        <w:rPr>
          <w:rFonts w:ascii="Garamond" w:hAnsi="Garamond"/>
        </w:rPr>
        <w:t xml:space="preserve"> también son coincidentes, puesto que </w:t>
      </w:r>
      <w:r w:rsidRPr="002C646E">
        <w:rPr>
          <w:rFonts w:ascii="Garamond" w:hAnsi="Garamond"/>
        </w:rPr>
        <w:t xml:space="preserve">tras nuestra excusa </w:t>
      </w:r>
      <w:r>
        <w:rPr>
          <w:rFonts w:ascii="Garamond" w:hAnsi="Garamond"/>
        </w:rPr>
        <w:t xml:space="preserve">aparecen </w:t>
      </w:r>
      <w:r w:rsidRPr="002C646E">
        <w:rPr>
          <w:rFonts w:ascii="Garamond" w:hAnsi="Garamond"/>
        </w:rPr>
        <w:t>“razones de política criminal vinculadas con el manteni</w:t>
      </w:r>
      <w:r w:rsidR="00833F7C">
        <w:rPr>
          <w:rFonts w:ascii="Garamond" w:hAnsi="Garamond"/>
        </w:rPr>
        <w:t>miento de la armonía familiar”</w:t>
      </w:r>
      <w:r>
        <w:rPr>
          <w:rFonts w:ascii="Garamond" w:hAnsi="Garamond"/>
        </w:rPr>
        <w:t xml:space="preserve"> que asumen</w:t>
      </w:r>
      <w:r w:rsidRPr="002C646E">
        <w:rPr>
          <w:rFonts w:ascii="Garamond" w:hAnsi="Garamond"/>
        </w:rPr>
        <w:t xml:space="preserve"> “que en la familia existen mecanismos éticos suficientes para restablecer el orden perturbado por un delito contra la propiedad que no ha sido violento ni intimidatorio.”</w:t>
      </w:r>
      <w:r w:rsidRPr="002C646E">
        <w:rPr>
          <w:rStyle w:val="Refdenotaalpie"/>
          <w:rFonts w:ascii="Garamond" w:hAnsi="Garamond"/>
        </w:rPr>
        <w:footnoteReference w:id="130"/>
      </w:r>
      <w:r w:rsidRPr="002C646E">
        <w:rPr>
          <w:rFonts w:ascii="Garamond" w:hAnsi="Garamond"/>
        </w:rPr>
        <w:t xml:space="preserve"> En otras palabras, </w:t>
      </w:r>
      <w:r>
        <w:rPr>
          <w:rFonts w:ascii="Garamond" w:hAnsi="Garamond"/>
        </w:rPr>
        <w:t xml:space="preserve">las relaciones familiares y </w:t>
      </w:r>
      <w:r w:rsidR="00833F7C">
        <w:rPr>
          <w:rFonts w:ascii="Garamond" w:hAnsi="Garamond"/>
        </w:rPr>
        <w:t>la naturaleza d</w:t>
      </w:r>
      <w:r>
        <w:rPr>
          <w:rFonts w:ascii="Garamond" w:hAnsi="Garamond"/>
        </w:rPr>
        <w:t xml:space="preserve">el conflicto permiten renunciar a la intervención penal, que, </w:t>
      </w:r>
      <w:r w:rsidR="00833F7C">
        <w:rPr>
          <w:rFonts w:ascii="Garamond" w:hAnsi="Garamond"/>
        </w:rPr>
        <w:t>por estos factores</w:t>
      </w:r>
      <w:r>
        <w:rPr>
          <w:rFonts w:ascii="Garamond" w:hAnsi="Garamond"/>
        </w:rPr>
        <w:t xml:space="preserve">, se </w:t>
      </w:r>
      <w:r w:rsidR="00833F7C">
        <w:rPr>
          <w:rFonts w:ascii="Garamond" w:hAnsi="Garamond"/>
        </w:rPr>
        <w:t>revela</w:t>
      </w:r>
      <w:r>
        <w:rPr>
          <w:rFonts w:ascii="Garamond" w:hAnsi="Garamond"/>
        </w:rPr>
        <w:t xml:space="preserve"> menos eficaz y eficiente.</w:t>
      </w:r>
      <w:r w:rsidRPr="002C646E">
        <w:rPr>
          <w:rStyle w:val="Refdenotaalpie"/>
          <w:rFonts w:ascii="Garamond" w:hAnsi="Garamond"/>
        </w:rPr>
        <w:footnoteReference w:id="131"/>
      </w:r>
      <w:r w:rsidRPr="002C646E">
        <w:rPr>
          <w:rFonts w:ascii="Garamond" w:hAnsi="Garamond"/>
        </w:rPr>
        <w:t xml:space="preserve"> </w:t>
      </w:r>
      <w:r w:rsidR="00833F7C">
        <w:rPr>
          <w:rFonts w:ascii="Garamond" w:hAnsi="Garamond"/>
        </w:rPr>
        <w:t xml:space="preserve">Las peculiaridades del conflicto y de los involucrados </w:t>
      </w:r>
      <w:r w:rsidR="00F15A8A">
        <w:rPr>
          <w:rFonts w:ascii="Garamond" w:hAnsi="Garamond"/>
        </w:rPr>
        <w:t xml:space="preserve">fundan </w:t>
      </w:r>
      <w:r>
        <w:rPr>
          <w:rFonts w:ascii="Garamond" w:hAnsi="Garamond"/>
        </w:rPr>
        <w:t xml:space="preserve">una regla </w:t>
      </w:r>
      <w:r w:rsidR="00F15A8A">
        <w:rPr>
          <w:rFonts w:ascii="Garamond" w:hAnsi="Garamond"/>
        </w:rPr>
        <w:t>de excepción</w:t>
      </w:r>
      <w:r>
        <w:rPr>
          <w:rFonts w:ascii="Garamond" w:hAnsi="Garamond"/>
        </w:rPr>
        <w:t>, en que un hecho</w:t>
      </w:r>
      <w:r w:rsidR="00F15A8A">
        <w:rPr>
          <w:rFonts w:ascii="Garamond" w:hAnsi="Garamond"/>
        </w:rPr>
        <w:t xml:space="preserve"> que, a pesar de ser </w:t>
      </w:r>
      <w:r>
        <w:rPr>
          <w:rFonts w:ascii="Garamond" w:hAnsi="Garamond"/>
        </w:rPr>
        <w:t>típico</w:t>
      </w:r>
      <w:r w:rsidR="00F15A8A">
        <w:rPr>
          <w:rFonts w:ascii="Garamond" w:hAnsi="Garamond"/>
        </w:rPr>
        <w:t>,</w:t>
      </w:r>
      <w:r>
        <w:rPr>
          <w:rFonts w:ascii="Garamond" w:hAnsi="Garamond"/>
        </w:rPr>
        <w:t xml:space="preserve"> antijurídico </w:t>
      </w:r>
      <w:r w:rsidR="00F15A8A">
        <w:rPr>
          <w:rFonts w:ascii="Garamond" w:hAnsi="Garamond"/>
        </w:rPr>
        <w:t>y reprochable</w:t>
      </w:r>
      <w:r>
        <w:rPr>
          <w:rFonts w:ascii="Garamond" w:hAnsi="Garamond"/>
        </w:rPr>
        <w:t>, no es punible</w:t>
      </w:r>
      <w:r w:rsidR="00F15A8A">
        <w:rPr>
          <w:rFonts w:ascii="Garamond" w:hAnsi="Garamond"/>
        </w:rPr>
        <w:t>.</w:t>
      </w:r>
      <w:r>
        <w:rPr>
          <w:rStyle w:val="Refdenotaalpie"/>
          <w:rFonts w:ascii="Garamond" w:hAnsi="Garamond"/>
        </w:rPr>
        <w:footnoteReference w:id="132"/>
      </w:r>
      <w:r>
        <w:rPr>
          <w:rFonts w:ascii="Garamond" w:hAnsi="Garamond"/>
        </w:rPr>
        <w:t xml:space="preserve"> </w:t>
      </w:r>
    </w:p>
    <w:p w:rsidR="00E229F1" w:rsidRPr="002C646E" w:rsidRDefault="00E229F1" w:rsidP="00AC39E1">
      <w:pPr>
        <w:ind w:firstLine="142"/>
        <w:rPr>
          <w:rFonts w:ascii="Garamond" w:hAnsi="Garamond"/>
        </w:rPr>
      </w:pPr>
      <w:r>
        <w:rPr>
          <w:rFonts w:ascii="Garamond" w:hAnsi="Garamond"/>
        </w:rPr>
        <w:t xml:space="preserve">Este carácter </w:t>
      </w:r>
      <w:r w:rsidRPr="002C646E">
        <w:rPr>
          <w:rFonts w:ascii="Garamond" w:hAnsi="Garamond"/>
        </w:rPr>
        <w:t xml:space="preserve">limitado </w:t>
      </w:r>
      <w:r>
        <w:rPr>
          <w:rFonts w:ascii="Garamond" w:hAnsi="Garamond"/>
        </w:rPr>
        <w:t xml:space="preserve">y restrictivo, presente en las fuentes romanas estudiadas y en su verdadera sucesora, no se aviene bien con </w:t>
      </w:r>
      <w:r w:rsidRPr="002C646E">
        <w:rPr>
          <w:rFonts w:ascii="Garamond" w:hAnsi="Garamond"/>
        </w:rPr>
        <w:t xml:space="preserve">la generalidad </w:t>
      </w:r>
      <w:r>
        <w:rPr>
          <w:rFonts w:ascii="Garamond" w:hAnsi="Garamond"/>
        </w:rPr>
        <w:t xml:space="preserve">de las disposiciones decimonónicas sobre comunicabilidad de las </w:t>
      </w:r>
      <w:r w:rsidRPr="002C646E">
        <w:rPr>
          <w:rFonts w:ascii="Garamond" w:hAnsi="Garamond"/>
        </w:rPr>
        <w:t>modificatorias</w:t>
      </w:r>
      <w:r>
        <w:rPr>
          <w:rFonts w:ascii="Garamond" w:hAnsi="Garamond"/>
        </w:rPr>
        <w:t>. Por ello, fuera de la necesidad de contemplar ambas alternativas (</w:t>
      </w:r>
      <w:r w:rsidRPr="002C646E">
        <w:rPr>
          <w:rFonts w:ascii="Garamond" w:hAnsi="Garamond"/>
        </w:rPr>
        <w:t xml:space="preserve">circunstancias que </w:t>
      </w:r>
      <w:r>
        <w:rPr>
          <w:rFonts w:ascii="Garamond" w:hAnsi="Garamond"/>
        </w:rPr>
        <w:t xml:space="preserve">no </w:t>
      </w:r>
      <w:r w:rsidRPr="002C646E">
        <w:rPr>
          <w:rFonts w:ascii="Garamond" w:hAnsi="Garamond"/>
        </w:rPr>
        <w:t xml:space="preserve">se comuniquen </w:t>
      </w:r>
      <w:r>
        <w:rPr>
          <w:rFonts w:ascii="Garamond" w:hAnsi="Garamond"/>
        </w:rPr>
        <w:t xml:space="preserve">y otras </w:t>
      </w:r>
      <w:r w:rsidRPr="002C646E">
        <w:rPr>
          <w:rFonts w:ascii="Garamond" w:hAnsi="Garamond"/>
        </w:rPr>
        <w:t xml:space="preserve">que </w:t>
      </w:r>
      <w:r>
        <w:rPr>
          <w:rFonts w:ascii="Garamond" w:hAnsi="Garamond"/>
        </w:rPr>
        <w:t>sí)</w:t>
      </w:r>
      <w:r w:rsidRPr="002C646E">
        <w:rPr>
          <w:rFonts w:ascii="Garamond" w:hAnsi="Garamond"/>
        </w:rPr>
        <w:t xml:space="preserve">, las fuentes romanas </w:t>
      </w:r>
      <w:r>
        <w:rPr>
          <w:rFonts w:ascii="Garamond" w:hAnsi="Garamond"/>
        </w:rPr>
        <w:t xml:space="preserve">relativas al </w:t>
      </w:r>
      <w:r w:rsidRPr="001F239B">
        <w:rPr>
          <w:rFonts w:ascii="Garamond" w:hAnsi="Garamond"/>
          <w:i/>
        </w:rPr>
        <w:t>furtum</w:t>
      </w:r>
      <w:r>
        <w:rPr>
          <w:rFonts w:ascii="Garamond" w:hAnsi="Garamond"/>
        </w:rPr>
        <w:t xml:space="preserve"> </w:t>
      </w:r>
      <w:r w:rsidRPr="002C646E">
        <w:rPr>
          <w:rFonts w:ascii="Garamond" w:hAnsi="Garamond"/>
        </w:rPr>
        <w:t xml:space="preserve">no </w:t>
      </w:r>
      <w:r>
        <w:rPr>
          <w:rFonts w:ascii="Garamond" w:hAnsi="Garamond"/>
        </w:rPr>
        <w:t xml:space="preserve">están en condiciones </w:t>
      </w:r>
      <w:r w:rsidRPr="002C646E">
        <w:rPr>
          <w:rFonts w:ascii="Garamond" w:hAnsi="Garamond"/>
        </w:rPr>
        <w:t xml:space="preserve">arrojar luces sobre </w:t>
      </w:r>
      <w:r>
        <w:rPr>
          <w:rFonts w:ascii="Garamond" w:hAnsi="Garamond"/>
        </w:rPr>
        <w:t>los supuestos</w:t>
      </w:r>
      <w:r w:rsidR="00F15A8A">
        <w:rPr>
          <w:rFonts w:ascii="Garamond" w:hAnsi="Garamond"/>
        </w:rPr>
        <w:t xml:space="preserve"> en que debiera recurrirse a uno u otro</w:t>
      </w:r>
      <w:r>
        <w:rPr>
          <w:rFonts w:ascii="Garamond" w:hAnsi="Garamond"/>
        </w:rPr>
        <w:t>, particularmente cuando, en otras hipótesis, circunstancias muy similar</w:t>
      </w:r>
      <w:r w:rsidR="00F15A8A">
        <w:rPr>
          <w:rFonts w:ascii="Garamond" w:hAnsi="Garamond"/>
        </w:rPr>
        <w:t>es</w:t>
      </w:r>
      <w:r>
        <w:rPr>
          <w:rFonts w:ascii="Garamond" w:hAnsi="Garamond"/>
        </w:rPr>
        <w:t xml:space="preserve"> (también relaci</w:t>
      </w:r>
      <w:r w:rsidR="00F15A8A">
        <w:rPr>
          <w:rFonts w:ascii="Garamond" w:hAnsi="Garamond"/>
        </w:rPr>
        <w:t>ones</w:t>
      </w:r>
      <w:r>
        <w:rPr>
          <w:rFonts w:ascii="Garamond" w:hAnsi="Garamond"/>
        </w:rPr>
        <w:t xml:space="preserve"> </w:t>
      </w:r>
      <w:r w:rsidR="00F15A8A">
        <w:rPr>
          <w:rFonts w:ascii="Garamond" w:hAnsi="Garamond"/>
        </w:rPr>
        <w:t xml:space="preserve">de </w:t>
      </w:r>
      <w:r>
        <w:rPr>
          <w:rFonts w:ascii="Garamond" w:hAnsi="Garamond"/>
        </w:rPr>
        <w:t xml:space="preserve">familia) </w:t>
      </w:r>
      <w:r w:rsidR="00F15A8A">
        <w:rPr>
          <w:rFonts w:ascii="Garamond" w:hAnsi="Garamond"/>
        </w:rPr>
        <w:t xml:space="preserve">alcanzaban a </w:t>
      </w:r>
      <w:r>
        <w:rPr>
          <w:rFonts w:ascii="Garamond" w:hAnsi="Garamond"/>
        </w:rPr>
        <w:t>no cualificados. Por ende, l</w:t>
      </w:r>
      <w:r w:rsidRPr="002C646E">
        <w:rPr>
          <w:rFonts w:ascii="Garamond" w:hAnsi="Garamond"/>
        </w:rPr>
        <w:t xml:space="preserve">os criterios </w:t>
      </w:r>
      <w:r>
        <w:rPr>
          <w:rFonts w:ascii="Garamond" w:hAnsi="Garamond"/>
        </w:rPr>
        <w:t xml:space="preserve">que </w:t>
      </w:r>
      <w:r w:rsidRPr="002C646E">
        <w:rPr>
          <w:rFonts w:ascii="Garamond" w:hAnsi="Garamond"/>
        </w:rPr>
        <w:t xml:space="preserve">los códigos decimonónicos </w:t>
      </w:r>
      <w:r>
        <w:rPr>
          <w:rFonts w:ascii="Garamond" w:hAnsi="Garamond"/>
        </w:rPr>
        <w:t xml:space="preserve">emplean como </w:t>
      </w:r>
      <w:r w:rsidR="00F15A8A">
        <w:rPr>
          <w:rFonts w:ascii="Garamond" w:hAnsi="Garamond"/>
        </w:rPr>
        <w:t>pre</w:t>
      </w:r>
      <w:r>
        <w:rPr>
          <w:rFonts w:ascii="Garamond" w:hAnsi="Garamond"/>
        </w:rPr>
        <w:t>supuesto</w:t>
      </w:r>
      <w:r w:rsidR="00F15A8A">
        <w:rPr>
          <w:rFonts w:ascii="Garamond" w:hAnsi="Garamond"/>
        </w:rPr>
        <w:t>s</w:t>
      </w:r>
      <w:r>
        <w:rPr>
          <w:rFonts w:ascii="Garamond" w:hAnsi="Garamond"/>
        </w:rPr>
        <w:t xml:space="preserve"> </w:t>
      </w:r>
      <w:r w:rsidRPr="002C646E">
        <w:rPr>
          <w:rFonts w:ascii="Garamond" w:hAnsi="Garamond"/>
        </w:rPr>
        <w:t xml:space="preserve">no </w:t>
      </w:r>
      <w:r>
        <w:rPr>
          <w:rFonts w:ascii="Garamond" w:hAnsi="Garamond"/>
        </w:rPr>
        <w:t xml:space="preserve">pueden llenarse de contenido echando mano a las </w:t>
      </w:r>
      <w:r w:rsidRPr="002C646E">
        <w:rPr>
          <w:rFonts w:ascii="Garamond" w:hAnsi="Garamond"/>
        </w:rPr>
        <w:t xml:space="preserve">fuentes históricas </w:t>
      </w:r>
      <w:r>
        <w:rPr>
          <w:rFonts w:ascii="Garamond" w:hAnsi="Garamond"/>
        </w:rPr>
        <w:t xml:space="preserve">aquí revisadas, las que sí justifican la consagración de un régimen dual. Por ello, a falta de un fundamento claro y sistemático </w:t>
      </w:r>
      <w:r w:rsidR="00F15A8A">
        <w:rPr>
          <w:rFonts w:ascii="Garamond" w:hAnsi="Garamond"/>
        </w:rPr>
        <w:t>autónomo</w:t>
      </w:r>
      <w:r>
        <w:rPr>
          <w:rFonts w:ascii="Garamond" w:hAnsi="Garamond"/>
        </w:rPr>
        <w:t xml:space="preserve">, tales criterios estarían desprovistos de contenido y su empleo como modelo sería desaconsejable. </w:t>
      </w:r>
    </w:p>
    <w:p w:rsidR="00E229F1" w:rsidRPr="006D2BFF" w:rsidRDefault="00E229F1" w:rsidP="00AC39E1">
      <w:pPr>
        <w:ind w:firstLine="142"/>
        <w:rPr>
          <w:rFonts w:ascii="Garamond" w:hAnsi="Garamond"/>
          <w:lang w:val="es-CL"/>
        </w:rPr>
      </w:pPr>
    </w:p>
    <w:p w:rsidR="00E229F1" w:rsidRPr="0027618A" w:rsidRDefault="00E229F1" w:rsidP="00E229F1">
      <w:pPr>
        <w:pStyle w:val="Prrafodelista"/>
        <w:tabs>
          <w:tab w:val="left" w:pos="284"/>
        </w:tabs>
        <w:ind w:left="0"/>
        <w:jc w:val="center"/>
        <w:rPr>
          <w:rFonts w:ascii="Garamond" w:hAnsi="Garamond"/>
          <w:smallCaps/>
        </w:rPr>
      </w:pPr>
      <w:r w:rsidRPr="0027618A">
        <w:rPr>
          <w:rFonts w:ascii="Garamond" w:hAnsi="Garamond"/>
          <w:smallCaps/>
        </w:rPr>
        <w:t>Conclusiones</w:t>
      </w:r>
    </w:p>
    <w:p w:rsidR="00E229F1" w:rsidRPr="002C646E" w:rsidRDefault="00E229F1" w:rsidP="00AC39E1">
      <w:pPr>
        <w:ind w:firstLine="142"/>
        <w:rPr>
          <w:rFonts w:ascii="Garamond" w:hAnsi="Garamond"/>
        </w:rPr>
      </w:pPr>
    </w:p>
    <w:p w:rsidR="00E229F1" w:rsidRPr="002C646E" w:rsidRDefault="00E229F1" w:rsidP="00597199">
      <w:pPr>
        <w:ind w:firstLine="142"/>
        <w:rPr>
          <w:rFonts w:ascii="Garamond" w:hAnsi="Garamond"/>
        </w:rPr>
      </w:pPr>
      <w:r w:rsidRPr="002C646E">
        <w:rPr>
          <w:rFonts w:ascii="Garamond" w:hAnsi="Garamond"/>
        </w:rPr>
        <w:t xml:space="preserve">Rastrear las fuentes históricas de una disposición del Código Penal chileno de 1874 exige partir reconociendo en él a un vástago de la familia fundada por el Código Penal francés del 1810. El vínculo no es directo, puesto que </w:t>
      </w:r>
      <w:r>
        <w:rPr>
          <w:rFonts w:ascii="Garamond" w:hAnsi="Garamond"/>
        </w:rPr>
        <w:t>su</w:t>
      </w:r>
      <w:r w:rsidRPr="002C646E">
        <w:rPr>
          <w:rFonts w:ascii="Garamond" w:hAnsi="Garamond"/>
        </w:rPr>
        <w:t xml:space="preserve"> principal modelo, contrariando las intenciones originales </w:t>
      </w:r>
      <w:r>
        <w:rPr>
          <w:rFonts w:ascii="Garamond" w:hAnsi="Garamond"/>
        </w:rPr>
        <w:t>del Gobierno</w:t>
      </w:r>
      <w:r w:rsidRPr="002C646E">
        <w:rPr>
          <w:rFonts w:ascii="Garamond" w:hAnsi="Garamond"/>
        </w:rPr>
        <w:t xml:space="preserve">, fue el Código Penal español de 1848. A partir de este antecedente inmediato es posible llegar a Francia, pasando antes por Brasil (el Código imperial de 1830) y por el Reino de las Dos Sicilias (el Código de 1819). Para reconstituir los antecedentes del artículo 64 de nuestro Código, sin embargo, no hemos de recorrer todo este camino, ya que en Nápoles es preciso desviar el curso a Roma. </w:t>
      </w:r>
      <w:r>
        <w:rPr>
          <w:rFonts w:ascii="Garamond" w:hAnsi="Garamond"/>
        </w:rPr>
        <w:t>En efecto, l</w:t>
      </w:r>
      <w:r w:rsidRPr="002C646E">
        <w:rPr>
          <w:rFonts w:ascii="Garamond" w:hAnsi="Garamond"/>
        </w:rPr>
        <w:t xml:space="preserve">a Comisión Redactora </w:t>
      </w:r>
      <w:r>
        <w:rPr>
          <w:rFonts w:ascii="Garamond" w:hAnsi="Garamond"/>
        </w:rPr>
        <w:t xml:space="preserve">siguió </w:t>
      </w:r>
      <w:r w:rsidRPr="002C646E">
        <w:rPr>
          <w:rFonts w:ascii="Garamond" w:hAnsi="Garamond"/>
        </w:rPr>
        <w:t xml:space="preserve">muy </w:t>
      </w:r>
      <w:r>
        <w:rPr>
          <w:rFonts w:ascii="Garamond" w:hAnsi="Garamond"/>
        </w:rPr>
        <w:t xml:space="preserve">de cerca </w:t>
      </w:r>
      <w:r w:rsidRPr="002C646E">
        <w:rPr>
          <w:rFonts w:ascii="Garamond" w:hAnsi="Garamond"/>
        </w:rPr>
        <w:t xml:space="preserve">el artículo 69 del </w:t>
      </w:r>
      <w:r>
        <w:rPr>
          <w:rFonts w:ascii="Garamond" w:hAnsi="Garamond"/>
        </w:rPr>
        <w:t xml:space="preserve">modelo </w:t>
      </w:r>
      <w:r w:rsidRPr="002C646E">
        <w:rPr>
          <w:rFonts w:ascii="Garamond" w:hAnsi="Garamond"/>
        </w:rPr>
        <w:t>español</w:t>
      </w:r>
      <w:r>
        <w:rPr>
          <w:rFonts w:ascii="Garamond" w:hAnsi="Garamond"/>
        </w:rPr>
        <w:t xml:space="preserve">, limitándose </w:t>
      </w:r>
      <w:r w:rsidRPr="002C646E">
        <w:rPr>
          <w:rFonts w:ascii="Garamond" w:hAnsi="Garamond"/>
        </w:rPr>
        <w:t>a introducir una única modificación</w:t>
      </w:r>
      <w:r>
        <w:rPr>
          <w:rFonts w:ascii="Garamond" w:hAnsi="Garamond"/>
        </w:rPr>
        <w:t xml:space="preserve">, por la que se admite, como condición para extender el efecto las circunstancias materiales, </w:t>
      </w:r>
      <w:r w:rsidRPr="002C646E">
        <w:rPr>
          <w:rFonts w:ascii="Garamond" w:hAnsi="Garamond"/>
        </w:rPr>
        <w:t xml:space="preserve">no sólo </w:t>
      </w:r>
      <w:r>
        <w:rPr>
          <w:rFonts w:ascii="Garamond" w:hAnsi="Garamond"/>
        </w:rPr>
        <w:t xml:space="preserve">el conocimiento </w:t>
      </w:r>
      <w:r w:rsidRPr="002C646E">
        <w:rPr>
          <w:rFonts w:ascii="Garamond" w:hAnsi="Garamond"/>
        </w:rPr>
        <w:t xml:space="preserve">coetáneo, sino también anterior. </w:t>
      </w:r>
      <w:r>
        <w:rPr>
          <w:rFonts w:ascii="Garamond" w:hAnsi="Garamond"/>
        </w:rPr>
        <w:t xml:space="preserve">Como antecedente de la disposición española, los </w:t>
      </w:r>
      <w:r w:rsidRPr="002C646E">
        <w:rPr>
          <w:rFonts w:ascii="Garamond" w:hAnsi="Garamond"/>
        </w:rPr>
        <w:t xml:space="preserve">artículos 76 y 77 del Código </w:t>
      </w:r>
      <w:r>
        <w:rPr>
          <w:rFonts w:ascii="Garamond" w:hAnsi="Garamond"/>
        </w:rPr>
        <w:t xml:space="preserve">napolitano </w:t>
      </w:r>
      <w:r w:rsidRPr="002C646E">
        <w:rPr>
          <w:rFonts w:ascii="Garamond" w:hAnsi="Garamond"/>
        </w:rPr>
        <w:t>de 1819</w:t>
      </w:r>
      <w:r>
        <w:rPr>
          <w:rFonts w:ascii="Garamond" w:hAnsi="Garamond"/>
        </w:rPr>
        <w:t xml:space="preserve"> </w:t>
      </w:r>
      <w:r w:rsidRPr="002C646E">
        <w:rPr>
          <w:rFonts w:ascii="Garamond" w:hAnsi="Garamond"/>
        </w:rPr>
        <w:t>consagra</w:t>
      </w:r>
      <w:r>
        <w:rPr>
          <w:rFonts w:ascii="Garamond" w:hAnsi="Garamond"/>
        </w:rPr>
        <w:t>n, respectivamente,</w:t>
      </w:r>
      <w:r w:rsidRPr="002C646E">
        <w:rPr>
          <w:rFonts w:ascii="Garamond" w:hAnsi="Garamond"/>
        </w:rPr>
        <w:t xml:space="preserve"> la </w:t>
      </w:r>
      <w:r>
        <w:rPr>
          <w:rFonts w:ascii="Garamond" w:hAnsi="Garamond"/>
        </w:rPr>
        <w:t>in</w:t>
      </w:r>
      <w:r w:rsidRPr="002C646E">
        <w:rPr>
          <w:rFonts w:ascii="Garamond" w:hAnsi="Garamond"/>
        </w:rPr>
        <w:t>comunicabilidad de las circunstancias personales</w:t>
      </w:r>
      <w:r>
        <w:rPr>
          <w:rFonts w:ascii="Garamond" w:hAnsi="Garamond"/>
        </w:rPr>
        <w:t xml:space="preserve"> (aunque con un alcance más amplio, </w:t>
      </w:r>
      <w:r w:rsidRPr="002C646E">
        <w:rPr>
          <w:rFonts w:ascii="Garamond" w:hAnsi="Garamond"/>
        </w:rPr>
        <w:t xml:space="preserve">que </w:t>
      </w:r>
      <w:r>
        <w:rPr>
          <w:rFonts w:ascii="Garamond" w:hAnsi="Garamond"/>
        </w:rPr>
        <w:t xml:space="preserve">se </w:t>
      </w:r>
      <w:r w:rsidRPr="002C646E">
        <w:rPr>
          <w:rFonts w:ascii="Garamond" w:hAnsi="Garamond"/>
        </w:rPr>
        <w:t xml:space="preserve">extiende </w:t>
      </w:r>
      <w:r w:rsidR="00597199">
        <w:rPr>
          <w:rFonts w:ascii="Garamond" w:hAnsi="Garamond"/>
        </w:rPr>
        <w:t>a</w:t>
      </w:r>
      <w:r>
        <w:rPr>
          <w:rFonts w:ascii="Garamond" w:hAnsi="Garamond"/>
        </w:rPr>
        <w:t xml:space="preserve">demás </w:t>
      </w:r>
      <w:r w:rsidRPr="002C646E">
        <w:rPr>
          <w:rFonts w:ascii="Garamond" w:hAnsi="Garamond"/>
        </w:rPr>
        <w:t>a las eximentes</w:t>
      </w:r>
      <w:r>
        <w:rPr>
          <w:rFonts w:ascii="Garamond" w:hAnsi="Garamond"/>
        </w:rPr>
        <w:t xml:space="preserve">) y la comunicabilidad de las circunstancias materiales (esta vez, con un efecto más acotado, limitado sólo a </w:t>
      </w:r>
      <w:r w:rsidRPr="002C646E">
        <w:rPr>
          <w:rFonts w:ascii="Garamond" w:hAnsi="Garamond"/>
        </w:rPr>
        <w:t>las agravantes</w:t>
      </w:r>
      <w:r>
        <w:rPr>
          <w:rFonts w:ascii="Garamond" w:hAnsi="Garamond"/>
        </w:rPr>
        <w:t>)</w:t>
      </w:r>
      <w:r w:rsidRPr="002C646E">
        <w:rPr>
          <w:rFonts w:ascii="Garamond" w:hAnsi="Garamond"/>
        </w:rPr>
        <w:t xml:space="preserve">. </w:t>
      </w:r>
      <w:r>
        <w:rPr>
          <w:rFonts w:ascii="Garamond" w:hAnsi="Garamond"/>
        </w:rPr>
        <w:t>Este c</w:t>
      </w:r>
      <w:r w:rsidRPr="002C646E">
        <w:rPr>
          <w:rFonts w:ascii="Garamond" w:hAnsi="Garamond"/>
        </w:rPr>
        <w:t xml:space="preserve">ódigo era más parco al describir el supuesto de hecho: habla de “circunstancias personales” allí donde el legislador español y el chileno se refieren a circunstancias que consisten en la disposición moral del delincuente, en sus relaciones particulares con el ofendido o en otra causa personal; dice sólo “circunstancias materiales”, allí donde nuestro Código y su modelo contemplan circunstancias que consisten en la ejecución material del hecho o en los medios empleados para realizarlo. </w:t>
      </w:r>
    </w:p>
    <w:p w:rsidR="00E229F1" w:rsidRPr="002C646E" w:rsidRDefault="00E229F1" w:rsidP="00AC39E1">
      <w:pPr>
        <w:ind w:firstLine="142"/>
        <w:rPr>
          <w:rFonts w:ascii="Garamond" w:hAnsi="Garamond"/>
        </w:rPr>
      </w:pPr>
      <w:r>
        <w:rPr>
          <w:rFonts w:ascii="Garamond" w:hAnsi="Garamond"/>
        </w:rPr>
        <w:lastRenderedPageBreak/>
        <w:t xml:space="preserve">Los comentarios del </w:t>
      </w:r>
      <w:r w:rsidRPr="002C646E">
        <w:rPr>
          <w:rFonts w:ascii="Garamond" w:hAnsi="Garamond"/>
        </w:rPr>
        <w:t>Código de las Dos Sicilias</w:t>
      </w:r>
      <w:r>
        <w:rPr>
          <w:rFonts w:ascii="Garamond" w:hAnsi="Garamond"/>
        </w:rPr>
        <w:t xml:space="preserve"> destacan que estas reglas </w:t>
      </w:r>
      <w:r w:rsidRPr="002C646E">
        <w:rPr>
          <w:rFonts w:ascii="Garamond" w:hAnsi="Garamond"/>
        </w:rPr>
        <w:t xml:space="preserve">no reconocían antecedente en </w:t>
      </w:r>
      <w:r>
        <w:rPr>
          <w:rFonts w:ascii="Garamond" w:hAnsi="Garamond"/>
        </w:rPr>
        <w:t xml:space="preserve">la codificación </w:t>
      </w:r>
      <w:r w:rsidRPr="002C646E">
        <w:rPr>
          <w:rFonts w:ascii="Garamond" w:hAnsi="Garamond"/>
        </w:rPr>
        <w:t>franc</w:t>
      </w:r>
      <w:r>
        <w:rPr>
          <w:rFonts w:ascii="Garamond" w:hAnsi="Garamond"/>
        </w:rPr>
        <w:t xml:space="preserve">esa, no obstante lo cual, </w:t>
      </w:r>
      <w:r w:rsidRPr="002C646E">
        <w:rPr>
          <w:rFonts w:ascii="Garamond" w:hAnsi="Garamond"/>
        </w:rPr>
        <w:t xml:space="preserve">los tribunales napolitanos –a pesar del silencio de </w:t>
      </w:r>
      <w:r>
        <w:rPr>
          <w:rFonts w:ascii="Garamond" w:hAnsi="Garamond"/>
        </w:rPr>
        <w:t xml:space="preserve">dicha </w:t>
      </w:r>
      <w:r w:rsidRPr="002C646E">
        <w:rPr>
          <w:rFonts w:ascii="Garamond" w:hAnsi="Garamond"/>
        </w:rPr>
        <w:t>la ley que les r</w:t>
      </w:r>
      <w:r>
        <w:rPr>
          <w:rFonts w:ascii="Garamond" w:hAnsi="Garamond"/>
        </w:rPr>
        <w:t>i</w:t>
      </w:r>
      <w:r w:rsidRPr="002C646E">
        <w:rPr>
          <w:rFonts w:ascii="Garamond" w:hAnsi="Garamond"/>
        </w:rPr>
        <w:t xml:space="preserve">gió durante la ocupación francesa– continuaron dando aplicación </w:t>
      </w:r>
      <w:r>
        <w:rPr>
          <w:rFonts w:ascii="Garamond" w:hAnsi="Garamond"/>
        </w:rPr>
        <w:t xml:space="preserve">a este </w:t>
      </w:r>
      <w:r w:rsidRPr="002C646E">
        <w:rPr>
          <w:rFonts w:ascii="Garamond" w:hAnsi="Garamond"/>
        </w:rPr>
        <w:t>“principio de razón y equidad”</w:t>
      </w:r>
      <w:r>
        <w:rPr>
          <w:rFonts w:ascii="Garamond" w:hAnsi="Garamond"/>
        </w:rPr>
        <w:t xml:space="preserve">. Los comentaristas, además, sostienen que este principio </w:t>
      </w:r>
      <w:r w:rsidRPr="002C646E">
        <w:rPr>
          <w:rFonts w:ascii="Garamond" w:hAnsi="Garamond"/>
        </w:rPr>
        <w:t xml:space="preserve">era </w:t>
      </w:r>
      <w:r>
        <w:rPr>
          <w:rFonts w:ascii="Garamond" w:hAnsi="Garamond"/>
        </w:rPr>
        <w:t xml:space="preserve">conocido en </w:t>
      </w:r>
      <w:r w:rsidRPr="002C646E">
        <w:rPr>
          <w:rFonts w:ascii="Garamond" w:hAnsi="Garamond"/>
        </w:rPr>
        <w:t xml:space="preserve">las leyes de Roma. </w:t>
      </w:r>
      <w:r>
        <w:rPr>
          <w:rFonts w:ascii="Garamond" w:hAnsi="Garamond"/>
        </w:rPr>
        <w:t>E</w:t>
      </w:r>
      <w:r w:rsidRPr="002C646E">
        <w:rPr>
          <w:rFonts w:ascii="Garamond" w:hAnsi="Garamond"/>
        </w:rPr>
        <w:t xml:space="preserve">n lugar de mirar a Francia, </w:t>
      </w:r>
      <w:r>
        <w:rPr>
          <w:rFonts w:ascii="Garamond" w:hAnsi="Garamond"/>
        </w:rPr>
        <w:t xml:space="preserve">entonces, </w:t>
      </w:r>
      <w:r w:rsidRPr="002C646E">
        <w:rPr>
          <w:rFonts w:ascii="Garamond" w:hAnsi="Garamond"/>
        </w:rPr>
        <w:t xml:space="preserve">debemos revisar </w:t>
      </w:r>
      <w:r>
        <w:rPr>
          <w:rFonts w:ascii="Garamond" w:hAnsi="Garamond"/>
        </w:rPr>
        <w:t>el</w:t>
      </w:r>
      <w:r w:rsidRPr="002C646E">
        <w:rPr>
          <w:rFonts w:ascii="Garamond" w:hAnsi="Garamond"/>
        </w:rPr>
        <w:t xml:space="preserve"> </w:t>
      </w:r>
      <w:r>
        <w:rPr>
          <w:rFonts w:ascii="Garamond" w:hAnsi="Garamond"/>
        </w:rPr>
        <w:t>d</w:t>
      </w:r>
      <w:r w:rsidRPr="002C646E">
        <w:rPr>
          <w:rFonts w:ascii="Garamond" w:hAnsi="Garamond"/>
        </w:rPr>
        <w:t xml:space="preserve">erecho </w:t>
      </w:r>
      <w:r>
        <w:rPr>
          <w:rFonts w:ascii="Garamond" w:hAnsi="Garamond"/>
        </w:rPr>
        <w:t>r</w:t>
      </w:r>
      <w:r w:rsidRPr="002C646E">
        <w:rPr>
          <w:rFonts w:ascii="Garamond" w:hAnsi="Garamond"/>
        </w:rPr>
        <w:t>omano</w:t>
      </w:r>
      <w:r>
        <w:rPr>
          <w:rFonts w:ascii="Garamond" w:hAnsi="Garamond"/>
        </w:rPr>
        <w:t xml:space="preserve">, el que contempla casos en que una cualidad muy similar (un vínculo de familia) extendía sus efectos a terceros (parricidio) y otros en que ella los producía sólo respecto de los cualificados (hurto). En efecto, el segundo de ellos correspondía </w:t>
      </w:r>
      <w:r w:rsidRPr="002C646E">
        <w:rPr>
          <w:rFonts w:ascii="Garamond" w:hAnsi="Garamond"/>
        </w:rPr>
        <w:t>fundamentalmente</w:t>
      </w:r>
      <w:r>
        <w:rPr>
          <w:rFonts w:ascii="Garamond" w:hAnsi="Garamond"/>
        </w:rPr>
        <w:t xml:space="preserve"> a </w:t>
      </w:r>
      <w:r w:rsidRPr="002C646E">
        <w:rPr>
          <w:rFonts w:ascii="Garamond" w:hAnsi="Garamond"/>
        </w:rPr>
        <w:t xml:space="preserve">casos de coparticipación en un </w:t>
      </w:r>
      <w:r w:rsidRPr="002C646E">
        <w:rPr>
          <w:rFonts w:ascii="Garamond" w:hAnsi="Garamond"/>
          <w:i/>
        </w:rPr>
        <w:t>furtum</w:t>
      </w:r>
      <w:r w:rsidRPr="002C646E">
        <w:rPr>
          <w:rFonts w:ascii="Garamond" w:hAnsi="Garamond"/>
        </w:rPr>
        <w:t xml:space="preserve"> en que intervienen terceros extraños, junto con el hijo, el esclavo o la mujer del ofendido, </w:t>
      </w:r>
      <w:r>
        <w:rPr>
          <w:rFonts w:ascii="Garamond" w:hAnsi="Garamond"/>
        </w:rPr>
        <w:t xml:space="preserve">en </w:t>
      </w:r>
      <w:r w:rsidRPr="002C646E">
        <w:rPr>
          <w:rFonts w:ascii="Garamond" w:hAnsi="Garamond"/>
        </w:rPr>
        <w:t xml:space="preserve">los cuales </w:t>
      </w:r>
      <w:r>
        <w:rPr>
          <w:rFonts w:ascii="Garamond" w:hAnsi="Garamond"/>
        </w:rPr>
        <w:t xml:space="preserve">se sancionaba </w:t>
      </w:r>
      <w:r w:rsidRPr="002C646E">
        <w:rPr>
          <w:rFonts w:ascii="Garamond" w:hAnsi="Garamond"/>
        </w:rPr>
        <w:t>a aquéllos a pesar de no concederse acción contra l</w:t>
      </w:r>
      <w:r>
        <w:rPr>
          <w:rFonts w:ascii="Garamond" w:hAnsi="Garamond"/>
        </w:rPr>
        <w:t>o</w:t>
      </w:r>
      <w:r w:rsidRPr="002C646E">
        <w:rPr>
          <w:rFonts w:ascii="Garamond" w:hAnsi="Garamond"/>
        </w:rPr>
        <w:t xml:space="preserve">s segundos. </w:t>
      </w:r>
      <w:r>
        <w:rPr>
          <w:rFonts w:ascii="Garamond" w:hAnsi="Garamond"/>
        </w:rPr>
        <w:t xml:space="preserve">Ello se explicaba, en el caso del </w:t>
      </w:r>
      <w:r w:rsidRPr="002C646E">
        <w:rPr>
          <w:rFonts w:ascii="Garamond" w:hAnsi="Garamond"/>
        </w:rPr>
        <w:t xml:space="preserve">hijo de familia y </w:t>
      </w:r>
      <w:r>
        <w:rPr>
          <w:rFonts w:ascii="Garamond" w:hAnsi="Garamond"/>
        </w:rPr>
        <w:t>d</w:t>
      </w:r>
      <w:r w:rsidRPr="002C646E">
        <w:rPr>
          <w:rFonts w:ascii="Garamond" w:hAnsi="Garamond"/>
        </w:rPr>
        <w:t xml:space="preserve">el </w:t>
      </w:r>
      <w:r>
        <w:rPr>
          <w:rFonts w:ascii="Garamond" w:hAnsi="Garamond"/>
        </w:rPr>
        <w:t xml:space="preserve">esclavo, porque de las penas del hurto –de </w:t>
      </w:r>
      <w:r w:rsidRPr="002C646E">
        <w:rPr>
          <w:rFonts w:ascii="Garamond" w:hAnsi="Garamond"/>
        </w:rPr>
        <w:t>naturaleza pe</w:t>
      </w:r>
      <w:r>
        <w:rPr>
          <w:rFonts w:ascii="Garamond" w:hAnsi="Garamond"/>
        </w:rPr>
        <w:t xml:space="preserve">cuniaria– </w:t>
      </w:r>
      <w:r w:rsidRPr="002C646E">
        <w:rPr>
          <w:rFonts w:ascii="Garamond" w:hAnsi="Garamond"/>
        </w:rPr>
        <w:t xml:space="preserve">se </w:t>
      </w:r>
      <w:r>
        <w:rPr>
          <w:rFonts w:ascii="Garamond" w:hAnsi="Garamond"/>
        </w:rPr>
        <w:t>debía hacer</w:t>
      </w:r>
      <w:r w:rsidRPr="002C646E">
        <w:rPr>
          <w:rFonts w:ascii="Garamond" w:hAnsi="Garamond"/>
        </w:rPr>
        <w:t xml:space="preserve"> cargo el padre de familia</w:t>
      </w:r>
      <w:r>
        <w:rPr>
          <w:rFonts w:ascii="Garamond" w:hAnsi="Garamond"/>
        </w:rPr>
        <w:t xml:space="preserve">, de modo que este (como víctima) </w:t>
      </w:r>
      <w:r w:rsidRPr="002C646E">
        <w:rPr>
          <w:rFonts w:ascii="Garamond" w:hAnsi="Garamond"/>
        </w:rPr>
        <w:t>debería haber accionado contra sí mismo</w:t>
      </w:r>
      <w:r>
        <w:rPr>
          <w:rFonts w:ascii="Garamond" w:hAnsi="Garamond"/>
        </w:rPr>
        <w:t xml:space="preserve"> (como encargado de la satisfacción de las multas)</w:t>
      </w:r>
      <w:r w:rsidRPr="002C646E">
        <w:rPr>
          <w:rFonts w:ascii="Garamond" w:hAnsi="Garamond"/>
        </w:rPr>
        <w:t xml:space="preserve">. Por ello, la sanción quedaba entregada en estos casos únicamente a la potestad doméstica de que gozaba el </w:t>
      </w:r>
      <w:r w:rsidRPr="002C646E">
        <w:rPr>
          <w:rFonts w:ascii="Garamond" w:hAnsi="Garamond"/>
          <w:i/>
        </w:rPr>
        <w:t>pater familias</w:t>
      </w:r>
      <w:r w:rsidRPr="002C646E">
        <w:rPr>
          <w:rFonts w:ascii="Garamond" w:hAnsi="Garamond"/>
        </w:rPr>
        <w:t xml:space="preserve">. </w:t>
      </w:r>
      <w:r>
        <w:rPr>
          <w:rFonts w:ascii="Garamond" w:hAnsi="Garamond"/>
        </w:rPr>
        <w:t>En cambio,</w:t>
      </w:r>
      <w:r w:rsidRPr="002C646E">
        <w:rPr>
          <w:rFonts w:ascii="Garamond" w:hAnsi="Garamond"/>
        </w:rPr>
        <w:t xml:space="preserve"> </w:t>
      </w:r>
      <w:r>
        <w:rPr>
          <w:rFonts w:ascii="Garamond" w:hAnsi="Garamond"/>
        </w:rPr>
        <w:t xml:space="preserve">la imposibilidad de accionar por hurto en contra de la </w:t>
      </w:r>
      <w:r w:rsidRPr="002C646E">
        <w:rPr>
          <w:rFonts w:ascii="Garamond" w:hAnsi="Garamond"/>
        </w:rPr>
        <w:t xml:space="preserve">mujer </w:t>
      </w:r>
      <w:r>
        <w:rPr>
          <w:rFonts w:ascii="Garamond" w:hAnsi="Garamond"/>
        </w:rPr>
        <w:t xml:space="preserve">responde al </w:t>
      </w:r>
      <w:r w:rsidRPr="002C646E">
        <w:rPr>
          <w:rFonts w:ascii="Garamond" w:hAnsi="Garamond"/>
        </w:rPr>
        <w:t>carácter infamante de las penas</w:t>
      </w:r>
      <w:r>
        <w:rPr>
          <w:rFonts w:ascii="Garamond" w:hAnsi="Garamond"/>
        </w:rPr>
        <w:t>,</w:t>
      </w:r>
      <w:r w:rsidRPr="002C646E">
        <w:rPr>
          <w:rFonts w:ascii="Garamond" w:hAnsi="Garamond"/>
        </w:rPr>
        <w:t xml:space="preserve"> el que conducía a </w:t>
      </w:r>
      <w:r>
        <w:rPr>
          <w:rFonts w:ascii="Garamond" w:hAnsi="Garamond"/>
        </w:rPr>
        <w:t xml:space="preserve">estimar </w:t>
      </w:r>
      <w:r w:rsidRPr="002C646E">
        <w:rPr>
          <w:rFonts w:ascii="Garamond" w:hAnsi="Garamond"/>
        </w:rPr>
        <w:t>contrario a las buenas costumbres</w:t>
      </w:r>
      <w:r>
        <w:rPr>
          <w:rFonts w:ascii="Garamond" w:hAnsi="Garamond"/>
        </w:rPr>
        <w:t xml:space="preserve"> </w:t>
      </w:r>
      <w:r w:rsidRPr="002C646E">
        <w:rPr>
          <w:rFonts w:ascii="Garamond" w:hAnsi="Garamond"/>
        </w:rPr>
        <w:t xml:space="preserve">que un marido instara por la sanción de la mujer casada, </w:t>
      </w:r>
      <w:r>
        <w:rPr>
          <w:rFonts w:ascii="Garamond" w:hAnsi="Garamond"/>
        </w:rPr>
        <w:t xml:space="preserve">aunque </w:t>
      </w:r>
      <w:r w:rsidRPr="002C646E">
        <w:rPr>
          <w:rFonts w:ascii="Garamond" w:hAnsi="Garamond"/>
        </w:rPr>
        <w:t xml:space="preserve">ello no era obstáculo a que se le reconociera una acción civil. </w:t>
      </w:r>
    </w:p>
    <w:p w:rsidR="00E229F1" w:rsidRPr="002C646E" w:rsidRDefault="00E229F1" w:rsidP="00AC39E1">
      <w:pPr>
        <w:ind w:firstLine="142"/>
        <w:rPr>
          <w:rFonts w:ascii="Garamond" w:hAnsi="Garamond"/>
        </w:rPr>
      </w:pPr>
      <w:r w:rsidRPr="002C646E">
        <w:rPr>
          <w:rFonts w:ascii="Garamond" w:hAnsi="Garamond"/>
        </w:rPr>
        <w:t xml:space="preserve">De esta forma, el recorrido </w:t>
      </w:r>
      <w:r>
        <w:rPr>
          <w:rFonts w:ascii="Garamond" w:hAnsi="Garamond"/>
        </w:rPr>
        <w:t>iniciado</w:t>
      </w:r>
      <w:r w:rsidRPr="002C646E">
        <w:rPr>
          <w:rFonts w:ascii="Garamond" w:hAnsi="Garamond"/>
        </w:rPr>
        <w:t xml:space="preserve"> en el artículo 64 del Código chileno nos trae de vuelta al mismo cuerpo legal, pero a una disposición diferente: su artículo 489, que contempla la eximente de responsabilidad análoga a las que recogían las fuentes romanas</w:t>
      </w:r>
      <w:r>
        <w:rPr>
          <w:rFonts w:ascii="Garamond" w:hAnsi="Garamond"/>
        </w:rPr>
        <w:t xml:space="preserve"> estudiadas</w:t>
      </w:r>
      <w:r w:rsidRPr="002C646E">
        <w:rPr>
          <w:rFonts w:ascii="Garamond" w:hAnsi="Garamond"/>
        </w:rPr>
        <w:t xml:space="preserve">. </w:t>
      </w:r>
      <w:r w:rsidR="001F4643">
        <w:rPr>
          <w:rFonts w:ascii="Garamond" w:hAnsi="Garamond"/>
        </w:rPr>
        <w:t>Exhibiendo notables similitudes, e</w:t>
      </w:r>
      <w:r>
        <w:rPr>
          <w:rFonts w:ascii="Garamond" w:hAnsi="Garamond"/>
        </w:rPr>
        <w:t>sta disposición constituye una excusa legal absolutoria, es decir</w:t>
      </w:r>
      <w:r w:rsidRPr="002C646E">
        <w:rPr>
          <w:rFonts w:ascii="Garamond" w:hAnsi="Garamond"/>
        </w:rPr>
        <w:t xml:space="preserve">, </w:t>
      </w:r>
      <w:r>
        <w:rPr>
          <w:rFonts w:ascii="Garamond" w:hAnsi="Garamond"/>
        </w:rPr>
        <w:t xml:space="preserve">una hipótesis en que </w:t>
      </w:r>
      <w:r w:rsidRPr="002C646E">
        <w:rPr>
          <w:rFonts w:ascii="Garamond" w:hAnsi="Garamond"/>
        </w:rPr>
        <w:t xml:space="preserve">un hecho </w:t>
      </w:r>
      <w:r>
        <w:rPr>
          <w:rFonts w:ascii="Garamond" w:hAnsi="Garamond"/>
        </w:rPr>
        <w:t>que, mereciendo pena</w:t>
      </w:r>
      <w:r w:rsidRPr="002C646E">
        <w:rPr>
          <w:rFonts w:ascii="Garamond" w:hAnsi="Garamond"/>
        </w:rPr>
        <w:t xml:space="preserve">, </w:t>
      </w:r>
      <w:r>
        <w:rPr>
          <w:rFonts w:ascii="Garamond" w:hAnsi="Garamond"/>
        </w:rPr>
        <w:t xml:space="preserve">no la recibe, por estimársela innecesaria, en este caso, en razón de las relaciones de </w:t>
      </w:r>
      <w:r w:rsidRPr="002C646E">
        <w:rPr>
          <w:rFonts w:ascii="Garamond" w:hAnsi="Garamond"/>
        </w:rPr>
        <w:t>familia</w:t>
      </w:r>
      <w:r>
        <w:rPr>
          <w:rFonts w:ascii="Garamond" w:hAnsi="Garamond"/>
        </w:rPr>
        <w:t xml:space="preserve"> </w:t>
      </w:r>
      <w:r w:rsidR="00597199">
        <w:rPr>
          <w:rFonts w:ascii="Garamond" w:hAnsi="Garamond"/>
        </w:rPr>
        <w:t xml:space="preserve">que </w:t>
      </w:r>
      <w:r>
        <w:rPr>
          <w:rFonts w:ascii="Garamond" w:hAnsi="Garamond"/>
        </w:rPr>
        <w:t xml:space="preserve">actúan como </w:t>
      </w:r>
      <w:r w:rsidRPr="002C646E">
        <w:rPr>
          <w:rFonts w:ascii="Garamond" w:hAnsi="Garamond"/>
        </w:rPr>
        <w:t xml:space="preserve">medio de control </w:t>
      </w:r>
      <w:r>
        <w:rPr>
          <w:rFonts w:ascii="Garamond" w:hAnsi="Garamond"/>
        </w:rPr>
        <w:t xml:space="preserve">eficaz o como interés en cuyo </w:t>
      </w:r>
      <w:r w:rsidRPr="002C646E">
        <w:rPr>
          <w:rFonts w:ascii="Garamond" w:hAnsi="Garamond"/>
        </w:rPr>
        <w:t xml:space="preserve">resguardo conviene incluso renunciar a la pena pública. </w:t>
      </w:r>
      <w:r>
        <w:rPr>
          <w:rFonts w:ascii="Garamond" w:hAnsi="Garamond"/>
        </w:rPr>
        <w:t xml:space="preserve">Esta configuración no concuerda bien con la generalidad de las reglas decimonónicas sobre comunicabilidad de las circunstancias </w:t>
      </w:r>
      <w:r w:rsidR="00597199">
        <w:rPr>
          <w:rFonts w:ascii="Garamond" w:hAnsi="Garamond"/>
        </w:rPr>
        <w:t>ni con</w:t>
      </w:r>
      <w:r>
        <w:rPr>
          <w:rFonts w:ascii="Garamond" w:hAnsi="Garamond"/>
        </w:rPr>
        <w:t xml:space="preserve"> los criterios que emplean como presupuesto, por lo que las fuentes estudiadas no contribuyen darles claridad, </w:t>
      </w:r>
      <w:r w:rsidR="00597199">
        <w:rPr>
          <w:rFonts w:ascii="Garamond" w:hAnsi="Garamond"/>
        </w:rPr>
        <w:t>los que quedan</w:t>
      </w:r>
      <w:r>
        <w:rPr>
          <w:rFonts w:ascii="Garamond" w:hAnsi="Garamond"/>
        </w:rPr>
        <w:t xml:space="preserve">, si no se logra identificar un fundamento independiente, desprovistos de contenido. </w:t>
      </w:r>
      <w:r w:rsidR="00C971AA">
        <w:rPr>
          <w:rFonts w:ascii="Garamond" w:hAnsi="Garamond"/>
        </w:rPr>
        <w:t>Empero</w:t>
      </w:r>
      <w:r>
        <w:rPr>
          <w:rFonts w:ascii="Garamond" w:hAnsi="Garamond"/>
        </w:rPr>
        <w:t xml:space="preserve">, los antecedentes romanos y napolitanos conducen a identificar la necesidad </w:t>
      </w:r>
      <w:r w:rsidR="00C971AA">
        <w:rPr>
          <w:rFonts w:ascii="Garamond" w:hAnsi="Garamond"/>
        </w:rPr>
        <w:t>de</w:t>
      </w:r>
      <w:r>
        <w:rPr>
          <w:rFonts w:ascii="Garamond" w:hAnsi="Garamond"/>
        </w:rPr>
        <w:t xml:space="preserve"> un régimen dual, que, en algunos supuestos, extienda los efectos de las circunstancias y, en otros, lo</w:t>
      </w:r>
      <w:r w:rsidR="00597199">
        <w:rPr>
          <w:rFonts w:ascii="Garamond" w:hAnsi="Garamond"/>
        </w:rPr>
        <w:t>s</w:t>
      </w:r>
      <w:r>
        <w:rPr>
          <w:rFonts w:ascii="Garamond" w:hAnsi="Garamond"/>
        </w:rPr>
        <w:t xml:space="preserve"> limite </w:t>
      </w:r>
      <w:r w:rsidR="00597199">
        <w:rPr>
          <w:rFonts w:ascii="Garamond" w:hAnsi="Garamond"/>
        </w:rPr>
        <w:t xml:space="preserve">sólo </w:t>
      </w:r>
      <w:r>
        <w:rPr>
          <w:rFonts w:ascii="Garamond" w:hAnsi="Garamond"/>
        </w:rPr>
        <w:t xml:space="preserve">a quienes las ostenten. </w:t>
      </w:r>
    </w:p>
    <w:p w:rsidR="00E229F1" w:rsidRPr="002C646E" w:rsidRDefault="00E229F1" w:rsidP="00AC39E1">
      <w:pPr>
        <w:ind w:firstLine="142"/>
        <w:rPr>
          <w:rFonts w:ascii="Garamond" w:hAnsi="Garamond"/>
        </w:rPr>
      </w:pPr>
    </w:p>
    <w:p w:rsidR="00E229F1" w:rsidRPr="000C3C7F" w:rsidRDefault="00E229F1" w:rsidP="00E229F1">
      <w:pPr>
        <w:pStyle w:val="Prrafodelista"/>
        <w:tabs>
          <w:tab w:val="left" w:pos="284"/>
        </w:tabs>
        <w:ind w:left="0"/>
        <w:jc w:val="center"/>
        <w:rPr>
          <w:rFonts w:ascii="Garamond" w:hAnsi="Garamond"/>
          <w:smallCaps/>
          <w:lang w:val="it-IT"/>
        </w:rPr>
      </w:pPr>
      <w:r w:rsidRPr="000C3C7F">
        <w:rPr>
          <w:rFonts w:ascii="Garamond" w:hAnsi="Garamond"/>
          <w:smallCaps/>
          <w:lang w:val="it-IT"/>
        </w:rPr>
        <w:t xml:space="preserve">Bibliografía </w:t>
      </w:r>
    </w:p>
    <w:p w:rsidR="00E229F1" w:rsidRPr="000C3C7F" w:rsidRDefault="00E229F1" w:rsidP="00AC39E1">
      <w:pPr>
        <w:ind w:firstLine="142"/>
        <w:rPr>
          <w:rFonts w:ascii="Garamond" w:hAnsi="Garamond"/>
          <w:lang w:val="it-IT"/>
        </w:rPr>
      </w:pPr>
    </w:p>
    <w:p w:rsidR="00E229F1" w:rsidRPr="000C3C7F" w:rsidRDefault="00E229F1" w:rsidP="00F56192">
      <w:pPr>
        <w:ind w:left="142" w:hanging="142"/>
        <w:rPr>
          <w:rFonts w:ascii="Garamond" w:hAnsi="Garamond"/>
          <w:lang w:val="it-IT"/>
        </w:rPr>
      </w:pPr>
      <w:r w:rsidRPr="000C3C7F">
        <w:rPr>
          <w:rFonts w:ascii="Garamond" w:hAnsi="Garamond"/>
          <w:smallCaps/>
          <w:lang w:val="it-IT"/>
        </w:rPr>
        <w:t xml:space="preserve">Albanese, </w:t>
      </w:r>
      <w:r w:rsidRPr="000C3C7F">
        <w:rPr>
          <w:rFonts w:ascii="Garamond" w:hAnsi="Garamond"/>
          <w:lang w:val="it-IT"/>
        </w:rPr>
        <w:t xml:space="preserve">Bernardo, </w:t>
      </w:r>
      <w:r w:rsidRPr="000C3C7F">
        <w:rPr>
          <w:rFonts w:ascii="Garamond" w:hAnsi="Garamond"/>
          <w:i/>
          <w:lang w:val="it-IT"/>
        </w:rPr>
        <w:t>Furto (storia)</w:t>
      </w:r>
      <w:r w:rsidRPr="000C3C7F">
        <w:rPr>
          <w:rFonts w:ascii="Garamond" w:hAnsi="Garamond"/>
          <w:lang w:val="it-IT"/>
        </w:rPr>
        <w:t xml:space="preserve">, en </w:t>
      </w:r>
      <w:r w:rsidRPr="000C3C7F">
        <w:rPr>
          <w:rFonts w:ascii="Garamond" w:hAnsi="Garamond"/>
          <w:smallCaps/>
          <w:lang w:val="it-IT"/>
        </w:rPr>
        <w:t>Mortati</w:t>
      </w:r>
      <w:r w:rsidRPr="000C3C7F">
        <w:rPr>
          <w:rFonts w:ascii="Garamond" w:hAnsi="Garamond"/>
          <w:lang w:val="it-IT"/>
        </w:rPr>
        <w:t xml:space="preserve">, Costantino y </w:t>
      </w:r>
      <w:r w:rsidRPr="000C3C7F">
        <w:rPr>
          <w:rFonts w:ascii="Garamond" w:hAnsi="Garamond"/>
          <w:smallCaps/>
          <w:lang w:val="it-IT"/>
        </w:rPr>
        <w:t>Pugliatti</w:t>
      </w:r>
      <w:r w:rsidRPr="000C3C7F">
        <w:rPr>
          <w:rFonts w:ascii="Garamond" w:hAnsi="Garamond"/>
          <w:lang w:val="it-IT"/>
        </w:rPr>
        <w:t xml:space="preserve">, Salvatore (directores), </w:t>
      </w:r>
      <w:r w:rsidRPr="000C3C7F">
        <w:rPr>
          <w:rFonts w:ascii="Garamond" w:hAnsi="Garamond"/>
          <w:i/>
          <w:lang w:val="it-IT"/>
        </w:rPr>
        <w:t>Enciclopedia del diritto</w:t>
      </w:r>
      <w:r w:rsidRPr="000C3C7F">
        <w:rPr>
          <w:rFonts w:ascii="Garamond" w:hAnsi="Garamond"/>
          <w:lang w:val="it-IT"/>
        </w:rPr>
        <w:t xml:space="preserve">, XVII: </w:t>
      </w:r>
      <w:r w:rsidRPr="000C3C7F">
        <w:rPr>
          <w:rFonts w:ascii="Garamond" w:hAnsi="Garamond"/>
          <w:i/>
          <w:lang w:val="it-IT"/>
        </w:rPr>
        <w:t>Foro – Guid</w:t>
      </w:r>
      <w:r w:rsidRPr="000C3C7F">
        <w:rPr>
          <w:rFonts w:ascii="Garamond" w:hAnsi="Garamond"/>
          <w:lang w:val="it-IT"/>
        </w:rPr>
        <w:t xml:space="preserve"> (Palermo, Guiffrè, 1969), pp. 313-318.</w:t>
      </w:r>
    </w:p>
    <w:p w:rsidR="00E229F1" w:rsidRPr="000C3C7F" w:rsidRDefault="00E229F1" w:rsidP="00F56192">
      <w:pPr>
        <w:ind w:left="142" w:hanging="142"/>
        <w:rPr>
          <w:rFonts w:ascii="Garamond" w:hAnsi="Garamond"/>
          <w:lang w:val="it-IT"/>
        </w:rPr>
      </w:pPr>
      <w:r w:rsidRPr="000C3C7F">
        <w:rPr>
          <w:rFonts w:ascii="Garamond" w:hAnsi="Garamond"/>
          <w:smallCaps/>
          <w:lang w:val="it-IT"/>
        </w:rPr>
        <w:t xml:space="preserve">Arabia, </w:t>
      </w:r>
      <w:r w:rsidRPr="000C3C7F">
        <w:rPr>
          <w:rFonts w:ascii="Garamond" w:hAnsi="Garamond"/>
          <w:lang w:val="it-IT"/>
        </w:rPr>
        <w:t>Francesco Saverio,</w:t>
      </w:r>
      <w:r w:rsidRPr="000C3C7F">
        <w:rPr>
          <w:rFonts w:ascii="Garamond" w:hAnsi="Garamond"/>
          <w:smallCaps/>
          <w:lang w:val="it-IT"/>
        </w:rPr>
        <w:t xml:space="preserve"> </w:t>
      </w:r>
      <w:r w:rsidRPr="006F2CD3">
        <w:rPr>
          <w:rFonts w:ascii="Garamond" w:hAnsi="Garamond"/>
          <w:i/>
          <w:lang w:val="it-IT"/>
        </w:rPr>
        <w:t>I principi del diritto penal applicati al Codice delle Due Sicilie col confronto de' migliori codici d' Europa</w:t>
      </w:r>
      <w:r w:rsidRPr="000C3C7F">
        <w:rPr>
          <w:rFonts w:ascii="Garamond" w:hAnsi="Garamond"/>
          <w:lang w:val="it-IT"/>
        </w:rPr>
        <w:t xml:space="preserve">, (2ª edición, </w:t>
      </w:r>
      <w:r w:rsidRPr="006F2CD3">
        <w:rPr>
          <w:rFonts w:ascii="Garamond" w:hAnsi="Garamond"/>
          <w:lang w:val="it-IT"/>
        </w:rPr>
        <w:t>Napoli, Stabilimento Tipografico dei Classici Italiani,</w:t>
      </w:r>
      <w:r w:rsidRPr="000C3C7F">
        <w:rPr>
          <w:rFonts w:ascii="Garamond" w:hAnsi="Garamond"/>
          <w:lang w:val="it-IT"/>
        </w:rPr>
        <w:t xml:space="preserve"> 1860), II, disponible en </w:t>
      </w:r>
      <w:r w:rsidR="00BC1810" w:rsidRPr="00BC1810">
        <w:rPr>
          <w:rFonts w:ascii="Garamond" w:hAnsi="Garamond"/>
          <w:lang w:val="it-IT"/>
        </w:rPr>
        <w:t xml:space="preserve">https://bit.ly/2HNoI2r </w:t>
      </w:r>
      <w:r w:rsidR="00114806">
        <w:rPr>
          <w:rFonts w:ascii="Garamond" w:hAnsi="Garamond"/>
          <w:lang w:val="it-IT"/>
        </w:rPr>
        <w:t>[última visita 23</w:t>
      </w:r>
      <w:r w:rsidRPr="000C3C7F">
        <w:rPr>
          <w:rFonts w:ascii="Garamond" w:hAnsi="Garamond"/>
          <w:lang w:val="it-IT"/>
        </w:rPr>
        <w:t xml:space="preserve">/5/2019]. </w:t>
      </w:r>
    </w:p>
    <w:p w:rsidR="00E229F1" w:rsidRPr="002C646E" w:rsidRDefault="00E229F1" w:rsidP="00F56192">
      <w:pPr>
        <w:ind w:left="142" w:hanging="142"/>
        <w:rPr>
          <w:rFonts w:ascii="Garamond" w:hAnsi="Garamond"/>
        </w:rPr>
      </w:pPr>
      <w:r w:rsidRPr="0030500D">
        <w:rPr>
          <w:rFonts w:ascii="Garamond" w:hAnsi="Garamond"/>
          <w:smallCaps/>
        </w:rPr>
        <w:t>Amunátegui Perelló</w:t>
      </w:r>
      <w:r w:rsidRPr="002C646E">
        <w:rPr>
          <w:rFonts w:ascii="Garamond" w:hAnsi="Garamond"/>
        </w:rPr>
        <w:t>, Carlos Felipe</w:t>
      </w:r>
      <w:r>
        <w:rPr>
          <w:rFonts w:ascii="Garamond" w:hAnsi="Garamond"/>
        </w:rPr>
        <w:t>,</w:t>
      </w:r>
      <w:r w:rsidRPr="002C646E">
        <w:rPr>
          <w:rFonts w:ascii="Garamond" w:hAnsi="Garamond"/>
        </w:rPr>
        <w:t xml:space="preserve"> </w:t>
      </w:r>
      <w:r w:rsidRPr="00E01306">
        <w:rPr>
          <w:rFonts w:ascii="Garamond" w:hAnsi="Garamond"/>
          <w:i/>
        </w:rPr>
        <w:t>El origen de los poderes del “paterfamilias”, II: el “paterfamilias” y la “manus”,</w:t>
      </w:r>
      <w:r w:rsidRPr="002C646E">
        <w:rPr>
          <w:rFonts w:ascii="Garamond" w:hAnsi="Garamond"/>
        </w:rPr>
        <w:t xml:space="preserve"> </w:t>
      </w:r>
      <w:r>
        <w:rPr>
          <w:rFonts w:ascii="Garamond" w:hAnsi="Garamond"/>
        </w:rPr>
        <w:t xml:space="preserve">en </w:t>
      </w:r>
      <w:r w:rsidRPr="002C646E">
        <w:rPr>
          <w:rFonts w:ascii="Garamond" w:hAnsi="Garamond"/>
          <w:i/>
        </w:rPr>
        <w:t>REHJ</w:t>
      </w:r>
      <w:r w:rsidRPr="00E01306">
        <w:rPr>
          <w:rFonts w:ascii="Garamond" w:hAnsi="Garamond"/>
        </w:rPr>
        <w:t xml:space="preserve">, XXIX </w:t>
      </w:r>
      <w:r w:rsidRPr="002C646E">
        <w:rPr>
          <w:rFonts w:ascii="Garamond" w:hAnsi="Garamond"/>
        </w:rPr>
        <w:t>(2007)</w:t>
      </w:r>
      <w:r>
        <w:rPr>
          <w:rFonts w:ascii="Garamond" w:hAnsi="Garamond"/>
        </w:rPr>
        <w:t>,</w:t>
      </w:r>
      <w:r w:rsidRPr="002C646E">
        <w:rPr>
          <w:rFonts w:ascii="Garamond" w:hAnsi="Garamond"/>
        </w:rPr>
        <w:t xml:space="preserve"> pp. 51-163. </w:t>
      </w:r>
    </w:p>
    <w:p w:rsidR="00E229F1" w:rsidRPr="002C646E" w:rsidRDefault="00E229F1" w:rsidP="00F56192">
      <w:pPr>
        <w:ind w:left="142" w:hanging="142"/>
        <w:rPr>
          <w:rFonts w:ascii="Garamond" w:hAnsi="Garamond"/>
        </w:rPr>
      </w:pPr>
      <w:r w:rsidRPr="0030500D">
        <w:rPr>
          <w:rFonts w:ascii="Garamond" w:hAnsi="Garamond"/>
          <w:smallCaps/>
        </w:rPr>
        <w:t>Amunátegui Perelló</w:t>
      </w:r>
      <w:r w:rsidRPr="002C646E">
        <w:rPr>
          <w:rFonts w:ascii="Garamond" w:hAnsi="Garamond"/>
        </w:rPr>
        <w:t>, Carlos Felipe</w:t>
      </w:r>
      <w:r>
        <w:rPr>
          <w:rFonts w:ascii="Garamond" w:hAnsi="Garamond"/>
        </w:rPr>
        <w:t xml:space="preserve">, </w:t>
      </w:r>
      <w:r w:rsidRPr="00E01306">
        <w:rPr>
          <w:rFonts w:ascii="Garamond" w:hAnsi="Garamond"/>
          <w:i/>
        </w:rPr>
        <w:t>El origen de los poderes del “paterfamilias” I: el “paterfamilias” y la “patria potestas”</w:t>
      </w:r>
      <w:r w:rsidRPr="002C646E">
        <w:rPr>
          <w:rFonts w:ascii="Garamond" w:hAnsi="Garamond"/>
        </w:rPr>
        <w:t xml:space="preserve">, </w:t>
      </w:r>
      <w:r>
        <w:rPr>
          <w:rFonts w:ascii="Garamond" w:hAnsi="Garamond"/>
        </w:rPr>
        <w:t xml:space="preserve">en </w:t>
      </w:r>
      <w:r w:rsidRPr="002C646E">
        <w:rPr>
          <w:rFonts w:ascii="Garamond" w:hAnsi="Garamond"/>
          <w:i/>
        </w:rPr>
        <w:t>REHJ</w:t>
      </w:r>
      <w:r w:rsidRPr="00E01306">
        <w:rPr>
          <w:rFonts w:ascii="Garamond" w:hAnsi="Garamond"/>
        </w:rPr>
        <w:t>, XXVIII (</w:t>
      </w:r>
      <w:r w:rsidRPr="002C646E">
        <w:rPr>
          <w:rFonts w:ascii="Garamond" w:hAnsi="Garamond"/>
        </w:rPr>
        <w:t>2006)</w:t>
      </w:r>
      <w:r>
        <w:rPr>
          <w:rFonts w:ascii="Garamond" w:hAnsi="Garamond"/>
        </w:rPr>
        <w:t>,</w:t>
      </w:r>
      <w:r w:rsidRPr="00572621">
        <w:rPr>
          <w:rFonts w:ascii="Garamond" w:hAnsi="Garamond"/>
        </w:rPr>
        <w:t xml:space="preserve"> </w:t>
      </w:r>
      <w:r w:rsidRPr="002C646E">
        <w:rPr>
          <w:rFonts w:ascii="Garamond" w:hAnsi="Garamond"/>
        </w:rPr>
        <w:t xml:space="preserve">pp. 37-143. </w:t>
      </w:r>
    </w:p>
    <w:p w:rsidR="00E229F1" w:rsidRPr="002C646E" w:rsidRDefault="00E229F1" w:rsidP="00F56192">
      <w:pPr>
        <w:ind w:left="142" w:hanging="142"/>
        <w:rPr>
          <w:rFonts w:ascii="Garamond" w:hAnsi="Garamond"/>
        </w:rPr>
      </w:pPr>
      <w:r w:rsidRPr="00DD5CCC">
        <w:rPr>
          <w:rFonts w:ascii="Garamond" w:hAnsi="Garamond"/>
          <w:smallCaps/>
        </w:rPr>
        <w:t>Antolisei</w:t>
      </w:r>
      <w:r w:rsidRPr="002C646E">
        <w:rPr>
          <w:rFonts w:ascii="Garamond" w:hAnsi="Garamond"/>
        </w:rPr>
        <w:t>, Francesco</w:t>
      </w:r>
      <w:r>
        <w:rPr>
          <w:rFonts w:ascii="Garamond" w:hAnsi="Garamond"/>
        </w:rPr>
        <w:t>,</w:t>
      </w:r>
      <w:r w:rsidRPr="002C646E">
        <w:rPr>
          <w:rFonts w:ascii="Garamond" w:hAnsi="Garamond"/>
        </w:rPr>
        <w:t xml:space="preserve"> </w:t>
      </w:r>
      <w:r w:rsidRPr="00CC08DB">
        <w:rPr>
          <w:rFonts w:ascii="Garamond" w:hAnsi="Garamond"/>
          <w:i/>
        </w:rPr>
        <w:t>Manual de Derecho Penal. Parte general</w:t>
      </w:r>
      <w:r w:rsidRPr="002C646E">
        <w:rPr>
          <w:rFonts w:ascii="Garamond" w:hAnsi="Garamond"/>
        </w:rPr>
        <w:t xml:space="preserve"> (trad</w:t>
      </w:r>
      <w:r>
        <w:rPr>
          <w:rFonts w:ascii="Garamond" w:hAnsi="Garamond"/>
        </w:rPr>
        <w:t xml:space="preserve">. cast., </w:t>
      </w:r>
      <w:r w:rsidRPr="002C646E">
        <w:rPr>
          <w:rFonts w:ascii="Garamond" w:hAnsi="Garamond"/>
        </w:rPr>
        <w:t xml:space="preserve">Buenos Aires, </w:t>
      </w:r>
      <w:proofErr w:type="spellStart"/>
      <w:r>
        <w:rPr>
          <w:rFonts w:ascii="Garamond" w:hAnsi="Garamond"/>
        </w:rPr>
        <w:t>UTEHA</w:t>
      </w:r>
      <w:proofErr w:type="spellEnd"/>
      <w:r>
        <w:rPr>
          <w:rFonts w:ascii="Garamond" w:hAnsi="Garamond"/>
        </w:rPr>
        <w:t xml:space="preserve">, </w:t>
      </w:r>
      <w:r w:rsidRPr="002C646E">
        <w:rPr>
          <w:rFonts w:ascii="Garamond" w:hAnsi="Garamond"/>
        </w:rPr>
        <w:t xml:space="preserve">1960). </w:t>
      </w:r>
    </w:p>
    <w:p w:rsidR="00E229F1" w:rsidRPr="002C646E" w:rsidRDefault="00E229F1" w:rsidP="00F56192">
      <w:pPr>
        <w:ind w:left="142" w:hanging="142"/>
        <w:rPr>
          <w:rFonts w:ascii="Garamond" w:hAnsi="Garamond"/>
          <w:lang w:val="en-US"/>
        </w:rPr>
      </w:pPr>
      <w:r w:rsidRPr="0030500D">
        <w:rPr>
          <w:rFonts w:ascii="Garamond" w:hAnsi="Garamond"/>
          <w:smallCaps/>
          <w:lang w:val="en-US"/>
        </w:rPr>
        <w:t>Birks</w:t>
      </w:r>
      <w:r w:rsidRPr="0030500D">
        <w:rPr>
          <w:rFonts w:ascii="Garamond" w:hAnsi="Garamond"/>
          <w:lang w:val="en-US"/>
        </w:rPr>
        <w:t>, Peter</w:t>
      </w:r>
      <w:r>
        <w:rPr>
          <w:rFonts w:ascii="Garamond" w:hAnsi="Garamond"/>
          <w:lang w:val="en-US"/>
        </w:rPr>
        <w:t>,</w:t>
      </w:r>
      <w:r w:rsidRPr="002C646E">
        <w:rPr>
          <w:rFonts w:ascii="Garamond" w:hAnsi="Garamond"/>
          <w:lang w:val="en-US"/>
        </w:rPr>
        <w:t xml:space="preserve"> </w:t>
      </w:r>
      <w:r w:rsidRPr="00E92BBA">
        <w:rPr>
          <w:rFonts w:ascii="Garamond" w:hAnsi="Garamond"/>
          <w:i/>
          <w:lang w:val="en-US"/>
        </w:rPr>
        <w:t xml:space="preserve">Chapter 7. </w:t>
      </w:r>
      <w:r w:rsidRPr="00E92BBA">
        <w:rPr>
          <w:rFonts w:ascii="Garamond" w:hAnsi="Garamond"/>
          <w:lang w:val="en-US"/>
        </w:rPr>
        <w:t>Furtum</w:t>
      </w:r>
      <w:r w:rsidRPr="00E92BBA">
        <w:rPr>
          <w:rFonts w:ascii="Garamond" w:hAnsi="Garamond"/>
          <w:i/>
          <w:lang w:val="en-US"/>
        </w:rPr>
        <w:t xml:space="preserve"> (Theft)</w:t>
      </w:r>
      <w:r>
        <w:rPr>
          <w:rFonts w:ascii="Garamond" w:hAnsi="Garamond"/>
          <w:lang w:val="en-US"/>
        </w:rPr>
        <w:t xml:space="preserve">, </w:t>
      </w:r>
      <w:r w:rsidRPr="002C646E">
        <w:rPr>
          <w:rFonts w:ascii="Garamond" w:hAnsi="Garamond"/>
          <w:lang w:val="en-US"/>
        </w:rPr>
        <w:t xml:space="preserve">en </w:t>
      </w:r>
      <w:r w:rsidRPr="00E92BBA">
        <w:rPr>
          <w:rFonts w:ascii="Garamond" w:hAnsi="Garamond"/>
          <w:smallCaps/>
          <w:lang w:val="en-US"/>
        </w:rPr>
        <w:t>Deschemaeker</w:t>
      </w:r>
      <w:r w:rsidRPr="002C646E">
        <w:rPr>
          <w:rFonts w:ascii="Garamond" w:hAnsi="Garamond"/>
          <w:lang w:val="en-US"/>
        </w:rPr>
        <w:t xml:space="preserve">, Eric (editor), </w:t>
      </w:r>
      <w:proofErr w:type="gramStart"/>
      <w:r w:rsidRPr="00E92BBA">
        <w:rPr>
          <w:rFonts w:ascii="Garamond" w:hAnsi="Garamond"/>
          <w:i/>
          <w:lang w:val="en-US"/>
        </w:rPr>
        <w:t>The</w:t>
      </w:r>
      <w:proofErr w:type="gramEnd"/>
      <w:r w:rsidRPr="00E92BBA">
        <w:rPr>
          <w:rFonts w:ascii="Garamond" w:hAnsi="Garamond"/>
          <w:i/>
          <w:lang w:val="en-US"/>
        </w:rPr>
        <w:t xml:space="preserve"> roman law of obligations. </w:t>
      </w:r>
      <w:r w:rsidRPr="001D6A6B">
        <w:rPr>
          <w:rFonts w:ascii="Garamond" w:hAnsi="Garamond"/>
          <w:i/>
          <w:lang w:val="en-US"/>
        </w:rPr>
        <w:t>The collected papers of Peter Birks</w:t>
      </w:r>
      <w:r w:rsidRPr="001D6A6B">
        <w:rPr>
          <w:rFonts w:ascii="Garamond" w:hAnsi="Garamond"/>
          <w:lang w:val="en-US"/>
        </w:rPr>
        <w:t>,</w:t>
      </w:r>
      <w:r w:rsidRPr="001D6A6B">
        <w:rPr>
          <w:rFonts w:ascii="Garamond" w:hAnsi="Garamond"/>
          <w:i/>
          <w:lang w:val="en-US"/>
        </w:rPr>
        <w:t xml:space="preserve"> </w:t>
      </w:r>
      <w:r w:rsidRPr="001D6A6B">
        <w:rPr>
          <w:rFonts w:ascii="Garamond" w:hAnsi="Garamond"/>
          <w:lang w:val="en-US"/>
        </w:rPr>
        <w:t xml:space="preserve">(Oxford, Oxford University Press, 2014), </w:t>
      </w:r>
      <w:r w:rsidRPr="002C646E">
        <w:rPr>
          <w:rFonts w:ascii="Garamond" w:hAnsi="Garamond"/>
          <w:lang w:val="en-US"/>
        </w:rPr>
        <w:t xml:space="preserve">pp. 158-187. </w:t>
      </w:r>
    </w:p>
    <w:p w:rsidR="00E229F1" w:rsidRPr="001D6A6B" w:rsidRDefault="00E229F1" w:rsidP="00F56192">
      <w:pPr>
        <w:ind w:left="142" w:hanging="142"/>
        <w:rPr>
          <w:rFonts w:ascii="Garamond" w:hAnsi="Garamond"/>
          <w:lang w:val="es-CL"/>
        </w:rPr>
      </w:pPr>
      <w:r w:rsidRPr="008D3BD5">
        <w:rPr>
          <w:rFonts w:ascii="Garamond" w:hAnsi="Garamond"/>
          <w:smallCaps/>
          <w:lang w:val="es-CL"/>
        </w:rPr>
        <w:lastRenderedPageBreak/>
        <w:t>Bullemore</w:t>
      </w:r>
      <w:r w:rsidRPr="00FF3EFD">
        <w:rPr>
          <w:rFonts w:ascii="Garamond" w:hAnsi="Garamond"/>
          <w:smallCaps/>
          <w:lang w:val="es-CL"/>
        </w:rPr>
        <w:t xml:space="preserve"> G.</w:t>
      </w:r>
      <w:r w:rsidRPr="00FF3EFD">
        <w:rPr>
          <w:rFonts w:ascii="Garamond" w:hAnsi="Garamond"/>
          <w:lang w:val="es-CL"/>
        </w:rPr>
        <w:t xml:space="preserve">, Vivian R. y </w:t>
      </w:r>
      <w:r w:rsidRPr="00FF3EFD">
        <w:rPr>
          <w:rFonts w:ascii="Garamond" w:hAnsi="Garamond"/>
          <w:smallCaps/>
          <w:lang w:val="es-CL"/>
        </w:rPr>
        <w:t>Mac</w:t>
      </w:r>
      <w:r>
        <w:rPr>
          <w:rFonts w:ascii="Garamond" w:hAnsi="Garamond"/>
          <w:smallCaps/>
          <w:lang w:val="es-CL"/>
        </w:rPr>
        <w:t>K</w:t>
      </w:r>
      <w:r w:rsidRPr="00FF3EFD">
        <w:rPr>
          <w:rFonts w:ascii="Garamond" w:hAnsi="Garamond"/>
          <w:smallCaps/>
          <w:lang w:val="es-CL"/>
        </w:rPr>
        <w:t>innon R.</w:t>
      </w:r>
      <w:r w:rsidRPr="00FF3EFD">
        <w:rPr>
          <w:rFonts w:ascii="Garamond" w:hAnsi="Garamond"/>
          <w:lang w:val="es-CL"/>
        </w:rPr>
        <w:t xml:space="preserve">, John R., </w:t>
      </w:r>
      <w:r w:rsidRPr="0011014E">
        <w:rPr>
          <w:rFonts w:ascii="Garamond" w:hAnsi="Garamond"/>
          <w:i/>
          <w:lang w:val="es-CL"/>
        </w:rPr>
        <w:t>Curso de Derecho Penal</w:t>
      </w:r>
      <w:r>
        <w:rPr>
          <w:rFonts w:ascii="Garamond" w:hAnsi="Garamond"/>
          <w:lang w:val="es-CL"/>
        </w:rPr>
        <w:t xml:space="preserve">, </w:t>
      </w:r>
      <w:r w:rsidRPr="00FF3EFD">
        <w:rPr>
          <w:rFonts w:ascii="Garamond" w:hAnsi="Garamond"/>
          <w:lang w:val="es-CL"/>
        </w:rPr>
        <w:t>II</w:t>
      </w:r>
      <w:r>
        <w:rPr>
          <w:rFonts w:ascii="Garamond" w:hAnsi="Garamond"/>
          <w:lang w:val="es-CL"/>
        </w:rPr>
        <w:t>:</w:t>
      </w:r>
      <w:r w:rsidRPr="00FF3EFD">
        <w:rPr>
          <w:rFonts w:ascii="Garamond" w:hAnsi="Garamond"/>
          <w:lang w:val="es-CL"/>
        </w:rPr>
        <w:t xml:space="preserve"> </w:t>
      </w:r>
      <w:r w:rsidRPr="0011014E">
        <w:rPr>
          <w:rFonts w:ascii="Garamond" w:hAnsi="Garamond"/>
          <w:i/>
          <w:lang w:val="es-CL"/>
        </w:rPr>
        <w:t>Teoría del delito</w:t>
      </w:r>
      <w:r w:rsidRPr="00FF3EFD">
        <w:rPr>
          <w:rFonts w:ascii="Garamond" w:hAnsi="Garamond"/>
          <w:lang w:val="es-CL"/>
        </w:rPr>
        <w:t xml:space="preserve"> (</w:t>
      </w:r>
      <w:r>
        <w:rPr>
          <w:rFonts w:ascii="Garamond" w:hAnsi="Garamond"/>
          <w:lang w:val="es-CL"/>
        </w:rPr>
        <w:t xml:space="preserve">2005, 3ª edición, </w:t>
      </w:r>
      <w:r w:rsidRPr="00FF3EFD">
        <w:rPr>
          <w:rFonts w:ascii="Garamond" w:hAnsi="Garamond"/>
          <w:lang w:val="es-CL"/>
        </w:rPr>
        <w:t xml:space="preserve">Santiago, </w:t>
      </w:r>
      <w:r>
        <w:rPr>
          <w:rFonts w:ascii="Garamond" w:hAnsi="Garamond"/>
          <w:lang w:val="es-CL"/>
        </w:rPr>
        <w:t xml:space="preserve">Legal Publishing, </w:t>
      </w:r>
      <w:r w:rsidRPr="00FF3EFD">
        <w:rPr>
          <w:rFonts w:ascii="Garamond" w:hAnsi="Garamond"/>
          <w:lang w:val="es-CL"/>
        </w:rPr>
        <w:t>2010)</w:t>
      </w:r>
      <w:r w:rsidRPr="001D6A6B">
        <w:rPr>
          <w:rFonts w:ascii="Garamond" w:hAnsi="Garamond"/>
          <w:lang w:val="es-CL"/>
        </w:rPr>
        <w:t xml:space="preserve">. </w:t>
      </w:r>
    </w:p>
    <w:p w:rsidR="00E229F1" w:rsidRPr="002C646E" w:rsidRDefault="00E229F1" w:rsidP="00F56192">
      <w:pPr>
        <w:ind w:left="142" w:hanging="142"/>
        <w:rPr>
          <w:rFonts w:ascii="Garamond" w:hAnsi="Garamond"/>
          <w:lang w:val="es-CL"/>
        </w:rPr>
      </w:pPr>
      <w:r w:rsidRPr="0030500D">
        <w:rPr>
          <w:rFonts w:ascii="Garamond" w:hAnsi="Garamond"/>
          <w:smallCaps/>
        </w:rPr>
        <w:t>Burillo</w:t>
      </w:r>
      <w:r w:rsidRPr="0030500D">
        <w:rPr>
          <w:rFonts w:ascii="Garamond" w:hAnsi="Garamond"/>
        </w:rPr>
        <w:t>, Jesús</w:t>
      </w:r>
      <w:r>
        <w:rPr>
          <w:rFonts w:ascii="Garamond" w:hAnsi="Garamond"/>
        </w:rPr>
        <w:t>,</w:t>
      </w:r>
      <w:r w:rsidRPr="002C646E">
        <w:rPr>
          <w:rFonts w:ascii="Garamond" w:hAnsi="Garamond"/>
        </w:rPr>
        <w:t xml:space="preserve"> </w:t>
      </w:r>
      <w:r w:rsidRPr="00E92BBA">
        <w:rPr>
          <w:rFonts w:ascii="Garamond" w:hAnsi="Garamond"/>
          <w:i/>
        </w:rPr>
        <w:t>La desprivatización del ‘furtum’ en el Derecho postclásico</w:t>
      </w:r>
      <w:r w:rsidRPr="002C646E">
        <w:rPr>
          <w:rFonts w:ascii="Garamond" w:hAnsi="Garamond"/>
        </w:rPr>
        <w:t>,</w:t>
      </w:r>
      <w:r>
        <w:rPr>
          <w:rFonts w:ascii="Garamond" w:hAnsi="Garamond"/>
        </w:rPr>
        <w:t xml:space="preserve"> en</w:t>
      </w:r>
      <w:r w:rsidRPr="002C646E">
        <w:rPr>
          <w:rFonts w:ascii="Garamond" w:hAnsi="Garamond"/>
        </w:rPr>
        <w:t xml:space="preserve"> </w:t>
      </w:r>
      <w:r w:rsidRPr="002C646E">
        <w:rPr>
          <w:rFonts w:ascii="Garamond" w:hAnsi="Garamond"/>
          <w:i/>
        </w:rPr>
        <w:t>REHJ</w:t>
      </w:r>
      <w:r>
        <w:rPr>
          <w:rFonts w:ascii="Garamond" w:hAnsi="Garamond"/>
        </w:rPr>
        <w:t>,</w:t>
      </w:r>
      <w:r w:rsidRPr="00E92BBA">
        <w:rPr>
          <w:rFonts w:ascii="Garamond" w:hAnsi="Garamond"/>
        </w:rPr>
        <w:t xml:space="preserve"> 7</w:t>
      </w:r>
      <w:r>
        <w:rPr>
          <w:rFonts w:ascii="Garamond" w:hAnsi="Garamond"/>
        </w:rPr>
        <w:t xml:space="preserve"> </w:t>
      </w:r>
      <w:r w:rsidRPr="002C646E">
        <w:rPr>
          <w:rFonts w:ascii="Garamond" w:hAnsi="Garamond"/>
        </w:rPr>
        <w:t>(1982)</w:t>
      </w:r>
      <w:r>
        <w:rPr>
          <w:rFonts w:ascii="Garamond" w:hAnsi="Garamond"/>
        </w:rPr>
        <w:t>,</w:t>
      </w:r>
      <w:r w:rsidRPr="00572621">
        <w:rPr>
          <w:rFonts w:ascii="Garamond" w:hAnsi="Garamond"/>
          <w:lang w:val="es-CL"/>
        </w:rPr>
        <w:t xml:space="preserve"> </w:t>
      </w:r>
      <w:r w:rsidRPr="002C646E">
        <w:rPr>
          <w:rFonts w:ascii="Garamond" w:hAnsi="Garamond"/>
          <w:lang w:val="es-CL"/>
        </w:rPr>
        <w:t xml:space="preserve">pp.13-20. </w:t>
      </w:r>
    </w:p>
    <w:p w:rsidR="00E229F1" w:rsidRDefault="00E229F1" w:rsidP="00F56192">
      <w:pPr>
        <w:ind w:left="142" w:hanging="142"/>
        <w:rPr>
          <w:rFonts w:ascii="Garamond" w:hAnsi="Garamond"/>
        </w:rPr>
      </w:pPr>
      <w:r w:rsidRPr="0030500D">
        <w:rPr>
          <w:rFonts w:ascii="Garamond" w:hAnsi="Garamond"/>
          <w:smallCaps/>
        </w:rPr>
        <w:t>Carnevali R.</w:t>
      </w:r>
      <w:r w:rsidRPr="002C646E">
        <w:rPr>
          <w:rFonts w:ascii="Garamond" w:hAnsi="Garamond"/>
          <w:smallCaps/>
        </w:rPr>
        <w:t xml:space="preserve">, </w:t>
      </w:r>
      <w:r w:rsidRPr="002C646E">
        <w:rPr>
          <w:rFonts w:ascii="Garamond" w:hAnsi="Garamond"/>
        </w:rPr>
        <w:t xml:space="preserve">Raúl, </w:t>
      </w:r>
      <w:r w:rsidRPr="00344D21">
        <w:rPr>
          <w:rFonts w:ascii="Garamond" w:hAnsi="Garamond"/>
          <w:i/>
        </w:rPr>
        <w:t>La ciencia penal italiana y su influencia en Chile</w:t>
      </w:r>
      <w:r w:rsidRPr="002C646E">
        <w:rPr>
          <w:rFonts w:ascii="Garamond" w:hAnsi="Garamond"/>
        </w:rPr>
        <w:t>,</w:t>
      </w:r>
      <w:r>
        <w:rPr>
          <w:rFonts w:ascii="Garamond" w:hAnsi="Garamond"/>
        </w:rPr>
        <w:t xml:space="preserve"> en</w:t>
      </w:r>
      <w:r w:rsidRPr="002C646E">
        <w:rPr>
          <w:rFonts w:ascii="Garamond" w:hAnsi="Garamond"/>
        </w:rPr>
        <w:t xml:space="preserve"> </w:t>
      </w:r>
      <w:r w:rsidRPr="002C646E">
        <w:rPr>
          <w:rFonts w:ascii="Garamond" w:hAnsi="Garamond"/>
          <w:i/>
        </w:rPr>
        <w:t>Política Criminal</w:t>
      </w:r>
      <w:r>
        <w:rPr>
          <w:rFonts w:ascii="Garamond" w:hAnsi="Garamond"/>
          <w:i/>
        </w:rPr>
        <w:t>,</w:t>
      </w:r>
      <w:r w:rsidRPr="00344D21">
        <w:rPr>
          <w:rFonts w:ascii="Garamond" w:hAnsi="Garamond"/>
        </w:rPr>
        <w:t xml:space="preserve"> 3</w:t>
      </w:r>
      <w:r>
        <w:rPr>
          <w:rFonts w:ascii="Garamond" w:hAnsi="Garamond"/>
        </w:rPr>
        <w:t xml:space="preserve"> </w:t>
      </w:r>
      <w:r w:rsidRPr="002C646E">
        <w:rPr>
          <w:rFonts w:ascii="Garamond" w:hAnsi="Garamond"/>
        </w:rPr>
        <w:t>(2008)</w:t>
      </w:r>
      <w:r w:rsidRPr="00344D21">
        <w:rPr>
          <w:rFonts w:ascii="Garamond" w:hAnsi="Garamond"/>
        </w:rPr>
        <w:t>, 6,</w:t>
      </w:r>
      <w:r>
        <w:rPr>
          <w:rFonts w:ascii="Garamond" w:hAnsi="Garamond"/>
        </w:rPr>
        <w:t xml:space="preserve"> </w:t>
      </w:r>
      <w:r w:rsidRPr="002C646E">
        <w:rPr>
          <w:rFonts w:ascii="Garamond" w:hAnsi="Garamond"/>
        </w:rPr>
        <w:t xml:space="preserve"> pp. 1-19. </w:t>
      </w:r>
    </w:p>
    <w:p w:rsidR="00E229F1" w:rsidRPr="002C6244" w:rsidRDefault="00E229F1" w:rsidP="00F56192">
      <w:pPr>
        <w:ind w:left="142" w:hanging="142"/>
        <w:rPr>
          <w:rFonts w:ascii="Garamond" w:hAnsi="Garamond"/>
          <w:lang w:val="en-US"/>
        </w:rPr>
      </w:pPr>
      <w:r w:rsidRPr="002C6244">
        <w:rPr>
          <w:rFonts w:ascii="Garamond" w:hAnsi="Garamond"/>
          <w:smallCaps/>
          <w:lang w:val="en-US"/>
        </w:rPr>
        <w:t>Cloud</w:t>
      </w:r>
      <w:r w:rsidRPr="002C6244">
        <w:rPr>
          <w:rFonts w:ascii="Garamond" w:hAnsi="Garamond"/>
          <w:lang w:val="en-US"/>
        </w:rPr>
        <w:t xml:space="preserve">, J. D., </w:t>
      </w:r>
      <w:r w:rsidRPr="002C6244">
        <w:rPr>
          <w:rFonts w:ascii="Garamond" w:hAnsi="Garamond"/>
          <w:i/>
          <w:lang w:val="en-US"/>
        </w:rPr>
        <w:t>Parricidium: from the lex Numae to the lex Pompeia de parricidiis</w:t>
      </w:r>
      <w:r w:rsidRPr="002C6244">
        <w:rPr>
          <w:rFonts w:ascii="Garamond" w:hAnsi="Garamond"/>
          <w:lang w:val="en-US"/>
        </w:rPr>
        <w:t xml:space="preserve">, en </w:t>
      </w:r>
      <w:r w:rsidRPr="002C6244">
        <w:rPr>
          <w:rFonts w:ascii="Garamond" w:hAnsi="Garamond"/>
          <w:i/>
          <w:lang w:val="en-US"/>
        </w:rPr>
        <w:t>ZSS</w:t>
      </w:r>
      <w:r w:rsidRPr="002C6244">
        <w:rPr>
          <w:rFonts w:ascii="Garamond" w:hAnsi="Garamond"/>
          <w:lang w:val="en-US"/>
        </w:rPr>
        <w:t xml:space="preserve">, 88 (1971), pp. 1-66. </w:t>
      </w:r>
    </w:p>
    <w:p w:rsidR="00E229F1" w:rsidRPr="002C646E" w:rsidRDefault="00E229F1" w:rsidP="00F56192">
      <w:pPr>
        <w:ind w:left="142" w:hanging="142"/>
        <w:rPr>
          <w:rFonts w:ascii="Garamond" w:hAnsi="Garamond"/>
        </w:rPr>
      </w:pPr>
      <w:r w:rsidRPr="0030500D">
        <w:rPr>
          <w:rFonts w:ascii="Garamond" w:hAnsi="Garamond"/>
          <w:smallCaps/>
        </w:rPr>
        <w:t>Couso</w:t>
      </w:r>
      <w:r w:rsidRPr="0030500D">
        <w:rPr>
          <w:rFonts w:ascii="Garamond" w:hAnsi="Garamond"/>
        </w:rPr>
        <w:t>, Javier</w:t>
      </w:r>
      <w:r w:rsidRPr="00572621">
        <w:rPr>
          <w:rFonts w:ascii="Garamond" w:hAnsi="Garamond"/>
        </w:rPr>
        <w:t xml:space="preserve">, </w:t>
      </w:r>
      <w:r w:rsidRPr="00AC004F">
        <w:rPr>
          <w:rFonts w:ascii="Garamond" w:hAnsi="Garamond"/>
          <w:i/>
        </w:rPr>
        <w:t>Comentario</w:t>
      </w:r>
      <w:r w:rsidRPr="00572621">
        <w:rPr>
          <w:rFonts w:ascii="Garamond" w:hAnsi="Garamond"/>
        </w:rPr>
        <w:t xml:space="preserve">, en </w:t>
      </w:r>
      <w:r w:rsidRPr="00AC004F">
        <w:rPr>
          <w:rFonts w:ascii="Garamond" w:hAnsi="Garamond"/>
          <w:smallCaps/>
        </w:rPr>
        <w:t>Couso</w:t>
      </w:r>
      <w:r w:rsidRPr="00572621">
        <w:rPr>
          <w:rFonts w:ascii="Garamond" w:hAnsi="Garamond"/>
        </w:rPr>
        <w:t xml:space="preserve"> </w:t>
      </w:r>
      <w:r w:rsidRPr="00AC004F">
        <w:rPr>
          <w:rFonts w:ascii="Garamond" w:hAnsi="Garamond"/>
          <w:smallCaps/>
        </w:rPr>
        <w:t>Salas</w:t>
      </w:r>
      <w:r w:rsidRPr="00572621">
        <w:rPr>
          <w:rFonts w:ascii="Garamond" w:hAnsi="Garamond"/>
        </w:rPr>
        <w:t xml:space="preserve">, Javier y </w:t>
      </w:r>
      <w:r w:rsidRPr="00AC004F">
        <w:rPr>
          <w:rFonts w:ascii="Garamond" w:hAnsi="Garamond"/>
          <w:smallCaps/>
        </w:rPr>
        <w:t>Hernández</w:t>
      </w:r>
      <w:r w:rsidRPr="00572621">
        <w:rPr>
          <w:rFonts w:ascii="Garamond" w:hAnsi="Garamond"/>
        </w:rPr>
        <w:t xml:space="preserve"> </w:t>
      </w:r>
      <w:r w:rsidRPr="00AC004F">
        <w:rPr>
          <w:rFonts w:ascii="Garamond" w:hAnsi="Garamond"/>
          <w:smallCaps/>
        </w:rPr>
        <w:t>Basualto</w:t>
      </w:r>
      <w:r w:rsidRPr="00572621">
        <w:rPr>
          <w:rFonts w:ascii="Garamond" w:hAnsi="Garamond"/>
        </w:rPr>
        <w:t xml:space="preserve">, Héctor (directores), </w:t>
      </w:r>
      <w:r w:rsidRPr="00AC004F">
        <w:rPr>
          <w:rFonts w:ascii="Garamond" w:hAnsi="Garamond"/>
          <w:i/>
        </w:rPr>
        <w:t>Código Penal comentado. Parte general. Doctrina y jurisprudencia</w:t>
      </w:r>
      <w:r w:rsidRPr="00572621">
        <w:rPr>
          <w:rFonts w:ascii="Garamond" w:hAnsi="Garamond"/>
        </w:rPr>
        <w:t xml:space="preserve"> (Santiago, </w:t>
      </w:r>
      <w:r>
        <w:rPr>
          <w:rFonts w:ascii="Garamond" w:hAnsi="Garamond"/>
        </w:rPr>
        <w:t xml:space="preserve">Legal Publishing, </w:t>
      </w:r>
      <w:r w:rsidRPr="00572621">
        <w:rPr>
          <w:rFonts w:ascii="Garamond" w:hAnsi="Garamond"/>
        </w:rPr>
        <w:t xml:space="preserve">2011), </w:t>
      </w:r>
      <w:r w:rsidRPr="002C646E">
        <w:rPr>
          <w:rFonts w:ascii="Garamond" w:hAnsi="Garamond"/>
        </w:rPr>
        <w:t>pp. 579-584.</w:t>
      </w:r>
    </w:p>
    <w:p w:rsidR="00E229F1" w:rsidRPr="002C646E" w:rsidRDefault="00E229F1" w:rsidP="00F56192">
      <w:pPr>
        <w:ind w:left="142" w:hanging="142"/>
        <w:rPr>
          <w:rFonts w:ascii="Garamond" w:hAnsi="Garamond"/>
        </w:rPr>
      </w:pPr>
      <w:r w:rsidRPr="001D6A6B">
        <w:rPr>
          <w:rFonts w:ascii="Garamond" w:hAnsi="Garamond"/>
          <w:smallCaps/>
        </w:rPr>
        <w:t>Cury</w:t>
      </w:r>
      <w:r w:rsidRPr="001D6A6B">
        <w:rPr>
          <w:rFonts w:ascii="Garamond" w:hAnsi="Garamond"/>
        </w:rPr>
        <w:t xml:space="preserve"> </w:t>
      </w:r>
      <w:r w:rsidRPr="001D6A6B">
        <w:rPr>
          <w:rFonts w:ascii="Garamond" w:hAnsi="Garamond"/>
          <w:smallCaps/>
        </w:rPr>
        <w:t>Urzúa</w:t>
      </w:r>
      <w:r w:rsidRPr="00572621">
        <w:rPr>
          <w:rFonts w:ascii="Garamond" w:hAnsi="Garamond"/>
        </w:rPr>
        <w:t xml:space="preserve">, Enrique, </w:t>
      </w:r>
      <w:r w:rsidRPr="00AC004F">
        <w:rPr>
          <w:rFonts w:ascii="Garamond" w:hAnsi="Garamond"/>
          <w:i/>
        </w:rPr>
        <w:t>Derecho Penal. Parte general</w:t>
      </w:r>
      <w:r w:rsidRPr="00572621">
        <w:rPr>
          <w:rFonts w:ascii="Garamond" w:hAnsi="Garamond"/>
        </w:rPr>
        <w:t xml:space="preserve"> (</w:t>
      </w:r>
      <w:r>
        <w:rPr>
          <w:rFonts w:ascii="Garamond" w:hAnsi="Garamond"/>
        </w:rPr>
        <w:t xml:space="preserve">1982, 10ª edición, </w:t>
      </w:r>
      <w:r w:rsidRPr="00572621">
        <w:rPr>
          <w:rFonts w:ascii="Garamond" w:hAnsi="Garamond"/>
        </w:rPr>
        <w:t xml:space="preserve">Santiago, </w:t>
      </w:r>
      <w:r>
        <w:rPr>
          <w:rFonts w:ascii="Garamond" w:hAnsi="Garamond"/>
        </w:rPr>
        <w:t xml:space="preserve">Ediciones Universidad Católica de Chile, </w:t>
      </w:r>
      <w:r w:rsidRPr="00572621">
        <w:rPr>
          <w:rFonts w:ascii="Garamond" w:hAnsi="Garamond"/>
        </w:rPr>
        <w:t>2011)</w:t>
      </w:r>
      <w:r w:rsidRPr="002C646E">
        <w:rPr>
          <w:rFonts w:ascii="Garamond" w:hAnsi="Garamond"/>
        </w:rPr>
        <w:t xml:space="preserve"> </w:t>
      </w:r>
    </w:p>
    <w:p w:rsidR="00E229F1" w:rsidRPr="002C646E" w:rsidRDefault="00E229F1" w:rsidP="00F56192">
      <w:pPr>
        <w:ind w:left="142" w:hanging="142"/>
        <w:rPr>
          <w:rFonts w:ascii="Garamond" w:hAnsi="Garamond"/>
        </w:rPr>
      </w:pPr>
      <w:r w:rsidRPr="001D6A6B">
        <w:rPr>
          <w:rFonts w:ascii="Garamond" w:hAnsi="Garamond"/>
          <w:smallCaps/>
        </w:rPr>
        <w:t>Cury</w:t>
      </w:r>
      <w:r w:rsidRPr="001D6A6B">
        <w:rPr>
          <w:rFonts w:ascii="Garamond" w:hAnsi="Garamond"/>
        </w:rPr>
        <w:t xml:space="preserve"> </w:t>
      </w:r>
      <w:r w:rsidRPr="001D6A6B">
        <w:rPr>
          <w:rFonts w:ascii="Garamond" w:hAnsi="Garamond"/>
          <w:smallCaps/>
        </w:rPr>
        <w:t>Urzúa</w:t>
      </w:r>
      <w:r w:rsidRPr="00572621">
        <w:rPr>
          <w:rFonts w:ascii="Garamond" w:hAnsi="Garamond"/>
        </w:rPr>
        <w:t xml:space="preserve">, Enrique y </w:t>
      </w:r>
      <w:r w:rsidRPr="00AC004F">
        <w:rPr>
          <w:rFonts w:ascii="Garamond" w:hAnsi="Garamond"/>
          <w:smallCaps/>
        </w:rPr>
        <w:t>Matus</w:t>
      </w:r>
      <w:r w:rsidRPr="00572621">
        <w:rPr>
          <w:rFonts w:ascii="Garamond" w:hAnsi="Garamond"/>
        </w:rPr>
        <w:t xml:space="preserve"> </w:t>
      </w:r>
      <w:r w:rsidRPr="00AC004F">
        <w:rPr>
          <w:rFonts w:ascii="Garamond" w:hAnsi="Garamond"/>
          <w:smallCaps/>
        </w:rPr>
        <w:t>Acuña</w:t>
      </w:r>
      <w:r w:rsidRPr="00572621">
        <w:rPr>
          <w:rFonts w:ascii="Garamond" w:hAnsi="Garamond"/>
        </w:rPr>
        <w:t xml:space="preserve">, Jean Pierre (colaborador), </w:t>
      </w:r>
      <w:r w:rsidRPr="00AC004F">
        <w:rPr>
          <w:rFonts w:ascii="Garamond" w:hAnsi="Garamond"/>
          <w:i/>
        </w:rPr>
        <w:t>Comentario al art. 14 y comentario preliminar a los artículos 15 y 17. El concurso de personas en el delito</w:t>
      </w:r>
      <w:r w:rsidRPr="00572621">
        <w:rPr>
          <w:rFonts w:ascii="Garamond" w:hAnsi="Garamond"/>
        </w:rPr>
        <w:t xml:space="preserve">, en </w:t>
      </w:r>
      <w:r w:rsidRPr="00AC004F">
        <w:rPr>
          <w:rFonts w:ascii="Garamond" w:hAnsi="Garamond"/>
          <w:smallCaps/>
        </w:rPr>
        <w:t>Politoff</w:t>
      </w:r>
      <w:r w:rsidRPr="00572621">
        <w:rPr>
          <w:rFonts w:ascii="Garamond" w:hAnsi="Garamond"/>
        </w:rPr>
        <w:t xml:space="preserve"> </w:t>
      </w:r>
      <w:r w:rsidRPr="00AC004F">
        <w:rPr>
          <w:rFonts w:ascii="Garamond" w:hAnsi="Garamond"/>
          <w:smallCaps/>
        </w:rPr>
        <w:t>Lifschitz</w:t>
      </w:r>
      <w:r w:rsidRPr="00572621">
        <w:rPr>
          <w:rFonts w:ascii="Garamond" w:hAnsi="Garamond"/>
        </w:rPr>
        <w:t xml:space="preserve">, Sergio y </w:t>
      </w:r>
      <w:r w:rsidRPr="00AC004F">
        <w:rPr>
          <w:rFonts w:ascii="Garamond" w:hAnsi="Garamond"/>
          <w:smallCaps/>
        </w:rPr>
        <w:t>Ortiz</w:t>
      </w:r>
      <w:r w:rsidRPr="00572621">
        <w:rPr>
          <w:rFonts w:ascii="Garamond" w:hAnsi="Garamond"/>
        </w:rPr>
        <w:t xml:space="preserve"> </w:t>
      </w:r>
      <w:r w:rsidRPr="00AC004F">
        <w:rPr>
          <w:rFonts w:ascii="Garamond" w:hAnsi="Garamond"/>
          <w:smallCaps/>
        </w:rPr>
        <w:t>Quiroga</w:t>
      </w:r>
      <w:r w:rsidRPr="00572621">
        <w:rPr>
          <w:rFonts w:ascii="Garamond" w:hAnsi="Garamond"/>
        </w:rPr>
        <w:t xml:space="preserve">, Luis (directores), </w:t>
      </w:r>
      <w:r w:rsidRPr="00AC004F">
        <w:rPr>
          <w:rFonts w:ascii="Garamond" w:hAnsi="Garamond"/>
          <w:i/>
        </w:rPr>
        <w:t>Texto y comentario del Código Penal chileno</w:t>
      </w:r>
      <w:r w:rsidRPr="00572621">
        <w:rPr>
          <w:rFonts w:ascii="Garamond" w:hAnsi="Garamond"/>
        </w:rPr>
        <w:t>, I</w:t>
      </w:r>
      <w:r>
        <w:rPr>
          <w:rFonts w:ascii="Garamond" w:hAnsi="Garamond"/>
        </w:rPr>
        <w:t>:</w:t>
      </w:r>
      <w:r w:rsidRPr="00572621">
        <w:rPr>
          <w:rFonts w:ascii="Garamond" w:hAnsi="Garamond"/>
        </w:rPr>
        <w:t xml:space="preserve"> </w:t>
      </w:r>
      <w:r w:rsidRPr="00D21877">
        <w:rPr>
          <w:rFonts w:ascii="Garamond" w:hAnsi="Garamond"/>
          <w:i/>
        </w:rPr>
        <w:t>Libro primero. Parte general</w:t>
      </w:r>
      <w:r w:rsidRPr="00572621">
        <w:rPr>
          <w:rFonts w:ascii="Garamond" w:hAnsi="Garamond"/>
        </w:rPr>
        <w:t xml:space="preserve"> (</w:t>
      </w:r>
      <w:r>
        <w:rPr>
          <w:rFonts w:ascii="Garamond" w:hAnsi="Garamond"/>
        </w:rPr>
        <w:t xml:space="preserve">reimp. 2010,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 xml:space="preserve">2002), </w:t>
      </w:r>
      <w:r w:rsidRPr="002C646E">
        <w:rPr>
          <w:rFonts w:ascii="Garamond" w:hAnsi="Garamond"/>
        </w:rPr>
        <w:t>pp. 229-237.</w:t>
      </w:r>
    </w:p>
    <w:p w:rsidR="00E229F1" w:rsidRPr="000C3C7F" w:rsidRDefault="00E229F1" w:rsidP="00F56192">
      <w:pPr>
        <w:ind w:left="142" w:hanging="142"/>
        <w:rPr>
          <w:rFonts w:ascii="Garamond" w:hAnsi="Garamond"/>
        </w:rPr>
      </w:pPr>
      <w:r w:rsidRPr="00DF108F">
        <w:rPr>
          <w:rFonts w:ascii="Garamond" w:hAnsi="Garamond"/>
          <w:smallCaps/>
        </w:rPr>
        <w:t>Cursi</w:t>
      </w:r>
      <w:r w:rsidRPr="00DF108F">
        <w:rPr>
          <w:rFonts w:ascii="Garamond" w:hAnsi="Garamond"/>
        </w:rPr>
        <w:t xml:space="preserve">, </w:t>
      </w:r>
      <w:proofErr w:type="spellStart"/>
      <w:r w:rsidRPr="00DF108F">
        <w:rPr>
          <w:rFonts w:ascii="Garamond" w:hAnsi="Garamond"/>
        </w:rPr>
        <w:t>Maria</w:t>
      </w:r>
      <w:proofErr w:type="spellEnd"/>
      <w:r w:rsidRPr="00DF108F">
        <w:rPr>
          <w:rFonts w:ascii="Garamond" w:hAnsi="Garamond"/>
        </w:rPr>
        <w:t xml:space="preserve"> </w:t>
      </w:r>
      <w:proofErr w:type="spellStart"/>
      <w:r w:rsidRPr="00DF108F">
        <w:rPr>
          <w:rFonts w:ascii="Garamond" w:hAnsi="Garamond"/>
        </w:rPr>
        <w:t>Floriana</w:t>
      </w:r>
      <w:proofErr w:type="spellEnd"/>
      <w:r w:rsidRPr="00DF108F">
        <w:rPr>
          <w:rFonts w:ascii="Garamond" w:hAnsi="Garamond"/>
        </w:rPr>
        <w:t xml:space="preserve">, </w:t>
      </w:r>
      <w:r w:rsidRPr="00DF108F">
        <w:rPr>
          <w:rFonts w:ascii="Garamond" w:hAnsi="Garamond"/>
          <w:i/>
        </w:rPr>
        <w:t xml:space="preserve">La </w:t>
      </w:r>
      <w:proofErr w:type="spellStart"/>
      <w:r w:rsidRPr="00DF108F">
        <w:rPr>
          <w:rFonts w:ascii="Garamond" w:hAnsi="Garamond"/>
          <w:i/>
        </w:rPr>
        <w:t>formazione</w:t>
      </w:r>
      <w:proofErr w:type="spellEnd"/>
      <w:r w:rsidRPr="00DF108F">
        <w:rPr>
          <w:rFonts w:ascii="Garamond" w:hAnsi="Garamond"/>
          <w:i/>
        </w:rPr>
        <w:t xml:space="preserve"> </w:t>
      </w:r>
      <w:proofErr w:type="spellStart"/>
      <w:r w:rsidRPr="00DF108F">
        <w:rPr>
          <w:rFonts w:ascii="Garamond" w:hAnsi="Garamond"/>
          <w:i/>
        </w:rPr>
        <w:t>delle</w:t>
      </w:r>
      <w:proofErr w:type="spellEnd"/>
      <w:r w:rsidRPr="00DF108F">
        <w:rPr>
          <w:rFonts w:ascii="Garamond" w:hAnsi="Garamond"/>
          <w:i/>
        </w:rPr>
        <w:t xml:space="preserve"> </w:t>
      </w:r>
      <w:proofErr w:type="spellStart"/>
      <w:r w:rsidRPr="00DF108F">
        <w:rPr>
          <w:rFonts w:ascii="Garamond" w:hAnsi="Garamond"/>
          <w:i/>
        </w:rPr>
        <w:t>obbligazioni</w:t>
      </w:r>
      <w:proofErr w:type="spellEnd"/>
      <w:r w:rsidRPr="00DF108F">
        <w:rPr>
          <w:rFonts w:ascii="Garamond" w:hAnsi="Garamond"/>
          <w:i/>
        </w:rPr>
        <w:t xml:space="preserve"> </w:t>
      </w:r>
      <w:r w:rsidRPr="00DF108F">
        <w:rPr>
          <w:rFonts w:ascii="Garamond" w:hAnsi="Garamond"/>
        </w:rPr>
        <w:t xml:space="preserve">ex </w:t>
      </w:r>
      <w:proofErr w:type="spellStart"/>
      <w:r w:rsidRPr="00DF108F">
        <w:rPr>
          <w:rFonts w:ascii="Garamond" w:hAnsi="Garamond"/>
        </w:rPr>
        <w:t>delicto</w:t>
      </w:r>
      <w:proofErr w:type="spellEnd"/>
      <w:r w:rsidRPr="000C3C7F">
        <w:rPr>
          <w:rFonts w:ascii="Garamond" w:hAnsi="Garamond"/>
        </w:rPr>
        <w:t xml:space="preserve">, en </w:t>
      </w:r>
      <w:r w:rsidRPr="000C3C7F">
        <w:rPr>
          <w:rFonts w:ascii="Garamond" w:hAnsi="Garamond"/>
          <w:i/>
        </w:rPr>
        <w:t>RIDA</w:t>
      </w:r>
      <w:r w:rsidRPr="000C3C7F">
        <w:rPr>
          <w:rFonts w:ascii="Garamond" w:hAnsi="Garamond"/>
        </w:rPr>
        <w:t xml:space="preserve">, 3 (2011), LVIII, pp. 143-173.  </w:t>
      </w:r>
    </w:p>
    <w:p w:rsidR="00E229F1" w:rsidRPr="002C646E" w:rsidRDefault="00E229F1" w:rsidP="00F56192">
      <w:pPr>
        <w:ind w:left="142" w:hanging="142"/>
        <w:rPr>
          <w:rFonts w:ascii="Garamond" w:hAnsi="Garamond"/>
        </w:rPr>
      </w:pPr>
      <w:r w:rsidRPr="0030500D">
        <w:rPr>
          <w:rFonts w:ascii="Garamond" w:hAnsi="Garamond"/>
          <w:smallCaps/>
          <w:lang w:val="es-CL"/>
        </w:rPr>
        <w:t>Etcheberry</w:t>
      </w:r>
      <w:r w:rsidRPr="00572621">
        <w:rPr>
          <w:rFonts w:ascii="Garamond" w:hAnsi="Garamond"/>
          <w:lang w:val="es-CL"/>
        </w:rPr>
        <w:t xml:space="preserve">, Alfredo, </w:t>
      </w:r>
      <w:r w:rsidRPr="00FC0E93">
        <w:rPr>
          <w:rFonts w:ascii="Garamond" w:hAnsi="Garamond"/>
          <w:i/>
          <w:lang w:val="es-CL"/>
        </w:rPr>
        <w:t>Derecho Penal</w:t>
      </w:r>
      <w:r w:rsidRPr="00572621">
        <w:rPr>
          <w:rFonts w:ascii="Garamond" w:hAnsi="Garamond"/>
          <w:lang w:val="es-CL"/>
        </w:rPr>
        <w:t>, I</w:t>
      </w:r>
      <w:r>
        <w:rPr>
          <w:rFonts w:ascii="Garamond" w:hAnsi="Garamond"/>
          <w:lang w:val="es-CL"/>
        </w:rPr>
        <w:t>:</w:t>
      </w:r>
      <w:r w:rsidRPr="00572621">
        <w:rPr>
          <w:rFonts w:ascii="Garamond" w:hAnsi="Garamond"/>
          <w:lang w:val="es-CL"/>
        </w:rPr>
        <w:t xml:space="preserve"> </w:t>
      </w:r>
      <w:r w:rsidRPr="00FC0E93">
        <w:rPr>
          <w:rFonts w:ascii="Garamond" w:hAnsi="Garamond"/>
          <w:i/>
          <w:lang w:val="es-CL"/>
        </w:rPr>
        <w:t>Parte general</w:t>
      </w:r>
      <w:r w:rsidRPr="00572621">
        <w:rPr>
          <w:rFonts w:ascii="Garamond" w:hAnsi="Garamond"/>
          <w:lang w:val="es-CL"/>
        </w:rPr>
        <w:t xml:space="preserve"> (</w:t>
      </w:r>
      <w:r>
        <w:rPr>
          <w:rFonts w:ascii="Garamond" w:hAnsi="Garamond"/>
          <w:lang w:val="es-CL"/>
        </w:rPr>
        <w:t xml:space="preserve">1964, reimp. 2010, 3ª edición, </w:t>
      </w:r>
      <w:r w:rsidRPr="00572621">
        <w:rPr>
          <w:rFonts w:ascii="Garamond" w:hAnsi="Garamond"/>
          <w:lang w:val="es-CL"/>
        </w:rPr>
        <w:t xml:space="preserve">Santiago, </w:t>
      </w:r>
      <w:r>
        <w:rPr>
          <w:rFonts w:ascii="Garamond" w:hAnsi="Garamond"/>
          <w:lang w:val="es-CL"/>
        </w:rPr>
        <w:t xml:space="preserve">Editorial Jurídica de Chile, </w:t>
      </w:r>
      <w:r w:rsidRPr="00572621">
        <w:rPr>
          <w:rFonts w:ascii="Garamond" w:hAnsi="Garamond"/>
          <w:lang w:val="es-CL"/>
        </w:rPr>
        <w:t>1998)</w:t>
      </w:r>
      <w:r>
        <w:rPr>
          <w:rFonts w:ascii="Garamond" w:hAnsi="Garamond"/>
          <w:lang w:val="es-CL"/>
        </w:rPr>
        <w:t>.</w:t>
      </w:r>
    </w:p>
    <w:p w:rsidR="00E229F1" w:rsidRPr="002C646E" w:rsidRDefault="00E229F1" w:rsidP="00F56192">
      <w:pPr>
        <w:ind w:left="142" w:hanging="142"/>
        <w:rPr>
          <w:rFonts w:ascii="Garamond" w:hAnsi="Garamond"/>
        </w:rPr>
      </w:pPr>
      <w:r w:rsidRPr="001D6A6B">
        <w:rPr>
          <w:rFonts w:ascii="Garamond" w:hAnsi="Garamond"/>
          <w:smallCaps/>
        </w:rPr>
        <w:t>Etcheberry</w:t>
      </w:r>
      <w:r w:rsidRPr="00572621">
        <w:rPr>
          <w:rFonts w:ascii="Garamond" w:hAnsi="Garamond"/>
        </w:rPr>
        <w:t xml:space="preserve">, Alfredo, </w:t>
      </w:r>
      <w:r w:rsidRPr="00D21877">
        <w:rPr>
          <w:rFonts w:ascii="Garamond" w:hAnsi="Garamond"/>
          <w:i/>
        </w:rPr>
        <w:t>Derecho Penal</w:t>
      </w:r>
      <w:r w:rsidRPr="00572621">
        <w:rPr>
          <w:rFonts w:ascii="Garamond" w:hAnsi="Garamond"/>
        </w:rPr>
        <w:t xml:space="preserve">, </w:t>
      </w:r>
      <w:r w:rsidRPr="00D21877">
        <w:rPr>
          <w:rFonts w:ascii="Garamond" w:hAnsi="Garamond"/>
        </w:rPr>
        <w:t>II</w:t>
      </w:r>
      <w:r>
        <w:rPr>
          <w:rFonts w:ascii="Garamond" w:hAnsi="Garamond"/>
        </w:rPr>
        <w:t>:</w:t>
      </w:r>
      <w:r w:rsidRPr="00572621">
        <w:rPr>
          <w:rFonts w:ascii="Garamond" w:hAnsi="Garamond"/>
        </w:rPr>
        <w:t xml:space="preserve"> </w:t>
      </w:r>
      <w:r w:rsidRPr="00D21877">
        <w:rPr>
          <w:rFonts w:ascii="Garamond" w:hAnsi="Garamond"/>
          <w:i/>
        </w:rPr>
        <w:t>Parte general</w:t>
      </w:r>
      <w:r w:rsidRPr="00572621">
        <w:rPr>
          <w:rFonts w:ascii="Garamond" w:hAnsi="Garamond"/>
        </w:rPr>
        <w:t>,</w:t>
      </w:r>
      <w:r>
        <w:rPr>
          <w:rFonts w:ascii="Garamond" w:hAnsi="Garamond"/>
        </w:rPr>
        <w:t xml:space="preserve"> </w:t>
      </w:r>
      <w:r w:rsidRPr="00572621">
        <w:rPr>
          <w:rFonts w:ascii="Garamond" w:hAnsi="Garamond"/>
        </w:rPr>
        <w:t>(</w:t>
      </w:r>
      <w:r>
        <w:rPr>
          <w:rFonts w:ascii="Garamond" w:hAnsi="Garamond"/>
        </w:rPr>
        <w:t xml:space="preserve">1964, reimp. 2010, 3ª edición,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1998)</w:t>
      </w:r>
      <w:r>
        <w:rPr>
          <w:rFonts w:ascii="Garamond" w:hAnsi="Garamond"/>
        </w:rPr>
        <w:t xml:space="preserve">. </w:t>
      </w:r>
    </w:p>
    <w:p w:rsidR="00E229F1" w:rsidRPr="002C646E" w:rsidRDefault="00E229F1" w:rsidP="00F56192">
      <w:pPr>
        <w:ind w:left="142" w:hanging="142"/>
        <w:rPr>
          <w:rFonts w:ascii="Garamond" w:hAnsi="Garamond"/>
        </w:rPr>
      </w:pPr>
      <w:r w:rsidRPr="0030500D">
        <w:rPr>
          <w:rFonts w:ascii="Garamond" w:hAnsi="Garamond"/>
          <w:smallCaps/>
        </w:rPr>
        <w:t>Ferrante</w:t>
      </w:r>
      <w:r w:rsidRPr="002C646E">
        <w:rPr>
          <w:rFonts w:ascii="Garamond" w:hAnsi="Garamond"/>
        </w:rPr>
        <w:t>, Riccardo</w:t>
      </w:r>
      <w:r>
        <w:rPr>
          <w:rFonts w:ascii="Garamond" w:hAnsi="Garamond"/>
        </w:rPr>
        <w:t>,</w:t>
      </w:r>
      <w:r w:rsidRPr="002C646E">
        <w:rPr>
          <w:rFonts w:ascii="Garamond" w:hAnsi="Garamond"/>
        </w:rPr>
        <w:t xml:space="preserve"> </w:t>
      </w:r>
      <w:r w:rsidRPr="002D2A8D">
        <w:rPr>
          <w:rFonts w:ascii="Garamond" w:hAnsi="Garamond"/>
          <w:i/>
        </w:rPr>
        <w:t>Los orígenes del modelo de codificación entre los siglos XIX y XX en Europa, con particular atención al caso italiano</w:t>
      </w:r>
      <w:r w:rsidRPr="002C646E">
        <w:rPr>
          <w:rFonts w:ascii="Garamond" w:hAnsi="Garamond"/>
        </w:rPr>
        <w:t xml:space="preserve">, </w:t>
      </w:r>
      <w:r>
        <w:rPr>
          <w:rFonts w:ascii="Garamond" w:hAnsi="Garamond"/>
        </w:rPr>
        <w:t xml:space="preserve">en </w:t>
      </w:r>
      <w:r w:rsidRPr="002C646E">
        <w:rPr>
          <w:rFonts w:ascii="Garamond" w:hAnsi="Garamond"/>
          <w:i/>
        </w:rPr>
        <w:t>Revista de Derecho Privado</w:t>
      </w:r>
      <w:r w:rsidRPr="002C646E">
        <w:rPr>
          <w:rFonts w:ascii="Garamond" w:hAnsi="Garamond"/>
        </w:rPr>
        <w:t xml:space="preserve"> </w:t>
      </w:r>
      <w:r w:rsidRPr="002C646E">
        <w:rPr>
          <w:rFonts w:ascii="Garamond" w:hAnsi="Garamond"/>
          <w:i/>
        </w:rPr>
        <w:t>(Universidad Externado de Colombia)</w:t>
      </w:r>
      <w:r>
        <w:rPr>
          <w:rFonts w:ascii="Garamond" w:hAnsi="Garamond"/>
        </w:rPr>
        <w:t xml:space="preserve">, </w:t>
      </w:r>
      <w:r w:rsidRPr="002D2A8D">
        <w:rPr>
          <w:rFonts w:ascii="Garamond" w:hAnsi="Garamond"/>
        </w:rPr>
        <w:t>25</w:t>
      </w:r>
      <w:r>
        <w:rPr>
          <w:rFonts w:ascii="Garamond" w:hAnsi="Garamond"/>
        </w:rPr>
        <w:t xml:space="preserve"> </w:t>
      </w:r>
      <w:r w:rsidRPr="002C646E">
        <w:rPr>
          <w:rFonts w:ascii="Garamond" w:hAnsi="Garamond"/>
        </w:rPr>
        <w:t>(2013)</w:t>
      </w:r>
      <w:r>
        <w:rPr>
          <w:rFonts w:ascii="Garamond" w:hAnsi="Garamond"/>
        </w:rPr>
        <w:t xml:space="preserve">, </w:t>
      </w:r>
      <w:r w:rsidRPr="002C646E">
        <w:rPr>
          <w:rFonts w:ascii="Garamond" w:hAnsi="Garamond"/>
        </w:rPr>
        <w:t>pp. 29-53.</w:t>
      </w:r>
    </w:p>
    <w:p w:rsidR="00E229F1" w:rsidRPr="002C646E" w:rsidRDefault="00E229F1" w:rsidP="00F56192">
      <w:pPr>
        <w:ind w:left="142" w:hanging="142"/>
        <w:rPr>
          <w:rFonts w:ascii="Garamond" w:hAnsi="Garamond"/>
        </w:rPr>
      </w:pPr>
      <w:r w:rsidRPr="00443DF8">
        <w:rPr>
          <w:rFonts w:ascii="Garamond" w:hAnsi="Garamond"/>
          <w:smallCaps/>
        </w:rPr>
        <w:t>Garrido Montt</w:t>
      </w:r>
      <w:r w:rsidRPr="002C646E">
        <w:rPr>
          <w:rFonts w:ascii="Garamond" w:hAnsi="Garamond"/>
        </w:rPr>
        <w:t>, Mario</w:t>
      </w:r>
      <w:r>
        <w:rPr>
          <w:rFonts w:ascii="Garamond" w:hAnsi="Garamond"/>
        </w:rPr>
        <w:t>,</w:t>
      </w:r>
      <w:r w:rsidRPr="002C646E">
        <w:rPr>
          <w:rFonts w:ascii="Garamond" w:hAnsi="Garamond"/>
        </w:rPr>
        <w:t xml:space="preserve"> </w:t>
      </w:r>
      <w:r w:rsidRPr="006F002D">
        <w:rPr>
          <w:rFonts w:ascii="Garamond" w:hAnsi="Garamond"/>
          <w:i/>
        </w:rPr>
        <w:t>Derecho Penal</w:t>
      </w:r>
      <w:r w:rsidRPr="002C646E">
        <w:rPr>
          <w:rFonts w:ascii="Garamond" w:hAnsi="Garamond"/>
        </w:rPr>
        <w:t xml:space="preserve">, </w:t>
      </w:r>
      <w:r>
        <w:rPr>
          <w:rFonts w:ascii="Garamond" w:hAnsi="Garamond"/>
        </w:rPr>
        <w:t>I:</w:t>
      </w:r>
      <w:r w:rsidRPr="002C646E">
        <w:rPr>
          <w:rFonts w:ascii="Garamond" w:hAnsi="Garamond"/>
        </w:rPr>
        <w:t xml:space="preserve"> </w:t>
      </w:r>
      <w:r w:rsidRPr="006F002D">
        <w:rPr>
          <w:rFonts w:ascii="Garamond" w:hAnsi="Garamond"/>
          <w:i/>
        </w:rPr>
        <w:t>Parte general</w:t>
      </w:r>
      <w:r w:rsidRPr="00572621">
        <w:rPr>
          <w:rFonts w:ascii="Garamond" w:hAnsi="Garamond"/>
        </w:rPr>
        <w:t>, (</w:t>
      </w:r>
      <w:r w:rsidRPr="00443DF8">
        <w:rPr>
          <w:rFonts w:ascii="Garamond" w:hAnsi="Garamond"/>
        </w:rPr>
        <w:t>reimp. 2009, 2ª edición</w:t>
      </w:r>
      <w:r>
        <w:rPr>
          <w:rFonts w:ascii="Garamond" w:hAnsi="Garamond"/>
        </w:rPr>
        <w:t xml:space="preserve">,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2007)</w:t>
      </w:r>
      <w:r>
        <w:rPr>
          <w:rFonts w:ascii="Garamond" w:hAnsi="Garamond"/>
        </w:rPr>
        <w:t>.</w:t>
      </w:r>
    </w:p>
    <w:p w:rsidR="00E229F1" w:rsidRPr="002C646E" w:rsidRDefault="00E229F1" w:rsidP="00F56192">
      <w:pPr>
        <w:ind w:left="142" w:hanging="142"/>
        <w:rPr>
          <w:rFonts w:ascii="Garamond" w:hAnsi="Garamond"/>
        </w:rPr>
      </w:pPr>
      <w:r w:rsidRPr="001D6A6B">
        <w:rPr>
          <w:rFonts w:ascii="Garamond" w:hAnsi="Garamond"/>
          <w:smallCaps/>
        </w:rPr>
        <w:t>Garrido</w:t>
      </w:r>
      <w:r w:rsidRPr="001D6A6B">
        <w:rPr>
          <w:rFonts w:ascii="Garamond" w:hAnsi="Garamond"/>
        </w:rPr>
        <w:t xml:space="preserve"> </w:t>
      </w:r>
      <w:r w:rsidRPr="001D6A6B">
        <w:rPr>
          <w:rFonts w:ascii="Garamond" w:hAnsi="Garamond"/>
          <w:smallCaps/>
        </w:rPr>
        <w:t>Montt</w:t>
      </w:r>
      <w:r w:rsidRPr="00572621">
        <w:rPr>
          <w:rFonts w:ascii="Garamond" w:hAnsi="Garamond"/>
        </w:rPr>
        <w:t xml:space="preserve">, Mario, </w:t>
      </w:r>
      <w:r w:rsidRPr="00D21877">
        <w:rPr>
          <w:rFonts w:ascii="Garamond" w:hAnsi="Garamond"/>
          <w:i/>
        </w:rPr>
        <w:t>Derecho Penal</w:t>
      </w:r>
      <w:r w:rsidRPr="00572621">
        <w:rPr>
          <w:rFonts w:ascii="Garamond" w:hAnsi="Garamond"/>
        </w:rPr>
        <w:t xml:space="preserve">, </w:t>
      </w:r>
      <w:r>
        <w:rPr>
          <w:rFonts w:ascii="Garamond" w:hAnsi="Garamond"/>
        </w:rPr>
        <w:t xml:space="preserve">II: </w:t>
      </w:r>
      <w:r w:rsidRPr="00D21877">
        <w:rPr>
          <w:rFonts w:ascii="Garamond" w:hAnsi="Garamond"/>
          <w:i/>
        </w:rPr>
        <w:t>Parte general</w:t>
      </w:r>
      <w:r>
        <w:rPr>
          <w:rFonts w:ascii="Garamond" w:hAnsi="Garamond"/>
          <w:i/>
        </w:rPr>
        <w:t xml:space="preserve">. </w:t>
      </w:r>
      <w:r w:rsidRPr="00A30A51">
        <w:rPr>
          <w:rFonts w:ascii="Garamond" w:hAnsi="Garamond"/>
          <w:i/>
        </w:rPr>
        <w:t>Nociones fundamentales de la teoría del delito</w:t>
      </w:r>
      <w:r>
        <w:rPr>
          <w:rFonts w:ascii="Garamond" w:hAnsi="Garamond"/>
        </w:rPr>
        <w:t xml:space="preserve">, </w:t>
      </w:r>
      <w:r w:rsidRPr="00572621">
        <w:rPr>
          <w:rFonts w:ascii="Garamond" w:hAnsi="Garamond"/>
        </w:rPr>
        <w:t>(</w:t>
      </w:r>
      <w:r w:rsidRPr="001D6A6B">
        <w:rPr>
          <w:rFonts w:ascii="Garamond" w:hAnsi="Garamond"/>
        </w:rPr>
        <w:t>reimp</w:t>
      </w:r>
      <w:r>
        <w:rPr>
          <w:rFonts w:ascii="Garamond" w:hAnsi="Garamond"/>
        </w:rPr>
        <w:t xml:space="preserve">., 4ª </w:t>
      </w:r>
      <w:r w:rsidRPr="001D6A6B">
        <w:rPr>
          <w:rFonts w:ascii="Garamond" w:hAnsi="Garamond"/>
        </w:rPr>
        <w:t>edición</w:t>
      </w:r>
      <w:r>
        <w:rPr>
          <w:rFonts w:ascii="Garamond" w:hAnsi="Garamond"/>
        </w:rPr>
        <w:t xml:space="preserve">,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2007)</w:t>
      </w:r>
      <w:r>
        <w:rPr>
          <w:rFonts w:ascii="Garamond" w:hAnsi="Garamond"/>
        </w:rPr>
        <w:t xml:space="preserve">. </w:t>
      </w:r>
    </w:p>
    <w:p w:rsidR="00E229F1" w:rsidRPr="002C646E" w:rsidRDefault="00E229F1" w:rsidP="00F56192">
      <w:pPr>
        <w:ind w:left="142" w:hanging="142"/>
        <w:rPr>
          <w:rFonts w:ascii="Garamond" w:hAnsi="Garamond"/>
        </w:rPr>
      </w:pPr>
      <w:r w:rsidRPr="0030500D">
        <w:rPr>
          <w:rFonts w:ascii="Garamond" w:hAnsi="Garamond"/>
          <w:smallCaps/>
          <w:lang w:val="es-CL"/>
        </w:rPr>
        <w:t>Gómez Martín</w:t>
      </w:r>
      <w:r w:rsidRPr="002110D2">
        <w:rPr>
          <w:rFonts w:ascii="Garamond" w:hAnsi="Garamond"/>
          <w:lang w:val="es-CL"/>
        </w:rPr>
        <w:t xml:space="preserve">, Víctor, </w:t>
      </w:r>
      <w:r w:rsidRPr="00F94D6F">
        <w:rPr>
          <w:rFonts w:ascii="Garamond" w:hAnsi="Garamond"/>
          <w:i/>
          <w:lang w:val="es-CL"/>
        </w:rPr>
        <w:t>Los delitos especiales</w:t>
      </w:r>
      <w:r w:rsidRPr="002110D2">
        <w:rPr>
          <w:rFonts w:ascii="Garamond" w:hAnsi="Garamond"/>
          <w:lang w:val="es-CL"/>
        </w:rPr>
        <w:t xml:space="preserve"> (Montevideo, Buenos Aires, </w:t>
      </w:r>
      <w:r>
        <w:rPr>
          <w:rFonts w:ascii="Garamond" w:hAnsi="Garamond"/>
          <w:lang w:val="es-CL"/>
        </w:rPr>
        <w:t xml:space="preserve">Editorial B de F, </w:t>
      </w:r>
      <w:r w:rsidRPr="002110D2">
        <w:rPr>
          <w:rFonts w:ascii="Garamond" w:hAnsi="Garamond"/>
          <w:lang w:val="es-CL"/>
        </w:rPr>
        <w:t>2006)</w:t>
      </w:r>
      <w:r w:rsidRPr="002C646E">
        <w:rPr>
          <w:rFonts w:ascii="Garamond" w:hAnsi="Garamond"/>
        </w:rPr>
        <w:t xml:space="preserve">. </w:t>
      </w:r>
    </w:p>
    <w:p w:rsidR="00E229F1" w:rsidRPr="002C646E" w:rsidRDefault="00E229F1" w:rsidP="00F56192">
      <w:pPr>
        <w:ind w:left="142" w:hanging="142"/>
        <w:rPr>
          <w:rFonts w:ascii="Garamond" w:hAnsi="Garamond"/>
        </w:rPr>
      </w:pPr>
      <w:r w:rsidRPr="0030500D">
        <w:rPr>
          <w:rFonts w:ascii="Garamond" w:hAnsi="Garamond"/>
          <w:smallCaps/>
        </w:rPr>
        <w:t>Grisolía</w:t>
      </w:r>
      <w:r w:rsidRPr="002C646E">
        <w:rPr>
          <w:rFonts w:ascii="Garamond" w:hAnsi="Garamond"/>
        </w:rPr>
        <w:t>, Francisco</w:t>
      </w:r>
      <w:r>
        <w:rPr>
          <w:rFonts w:ascii="Garamond" w:hAnsi="Garamond"/>
        </w:rPr>
        <w:t>,</w:t>
      </w:r>
      <w:r w:rsidRPr="002C646E">
        <w:rPr>
          <w:rFonts w:ascii="Garamond" w:hAnsi="Garamond"/>
        </w:rPr>
        <w:t xml:space="preserve"> </w:t>
      </w:r>
      <w:r w:rsidRPr="001457B9">
        <w:rPr>
          <w:rFonts w:ascii="Garamond" w:hAnsi="Garamond"/>
          <w:i/>
        </w:rPr>
        <w:t>La comunicabilidad en los delitos de malversación y fraude</w:t>
      </w:r>
      <w:r w:rsidRPr="002C646E">
        <w:rPr>
          <w:rFonts w:ascii="Garamond" w:hAnsi="Garamond"/>
        </w:rPr>
        <w:t xml:space="preserve">, </w:t>
      </w:r>
      <w:r>
        <w:rPr>
          <w:rFonts w:ascii="Garamond" w:hAnsi="Garamond"/>
        </w:rPr>
        <w:t xml:space="preserve">en </w:t>
      </w:r>
      <w:r w:rsidRPr="002C646E">
        <w:rPr>
          <w:rFonts w:ascii="Garamond" w:hAnsi="Garamond"/>
          <w:i/>
        </w:rPr>
        <w:t>Revista de Ciencias Penales</w:t>
      </w:r>
      <w:r>
        <w:rPr>
          <w:rFonts w:ascii="Garamond" w:hAnsi="Garamond"/>
        </w:rPr>
        <w:t xml:space="preserve">, </w:t>
      </w:r>
      <w:r w:rsidRPr="001457B9">
        <w:rPr>
          <w:rFonts w:ascii="Garamond" w:hAnsi="Garamond"/>
        </w:rPr>
        <w:t>XXXIV</w:t>
      </w:r>
      <w:r w:rsidRPr="002C646E">
        <w:rPr>
          <w:rFonts w:ascii="Garamond" w:hAnsi="Garamond"/>
        </w:rPr>
        <w:t xml:space="preserve"> (1975)</w:t>
      </w:r>
      <w:r>
        <w:rPr>
          <w:rFonts w:ascii="Garamond" w:hAnsi="Garamond"/>
        </w:rPr>
        <w:t xml:space="preserve">, </w:t>
      </w:r>
      <w:r w:rsidRPr="002C646E">
        <w:rPr>
          <w:rFonts w:ascii="Garamond" w:hAnsi="Garamond"/>
        </w:rPr>
        <w:t xml:space="preserve">pp. 3-47. </w:t>
      </w:r>
    </w:p>
    <w:p w:rsidR="00E229F1" w:rsidRPr="002C646E" w:rsidRDefault="00E229F1" w:rsidP="00F56192">
      <w:pPr>
        <w:ind w:left="142" w:hanging="142"/>
        <w:rPr>
          <w:rFonts w:ascii="Garamond" w:hAnsi="Garamond"/>
        </w:rPr>
      </w:pPr>
      <w:r w:rsidRPr="0030500D">
        <w:rPr>
          <w:rFonts w:ascii="Garamond" w:hAnsi="Garamond"/>
          <w:smallCaps/>
        </w:rPr>
        <w:t>Guzmán Brito</w:t>
      </w:r>
      <w:r w:rsidRPr="002C646E">
        <w:rPr>
          <w:rFonts w:ascii="Garamond" w:hAnsi="Garamond"/>
        </w:rPr>
        <w:t>, Alejandro</w:t>
      </w:r>
      <w:r>
        <w:rPr>
          <w:rFonts w:ascii="Garamond" w:hAnsi="Garamond"/>
        </w:rPr>
        <w:t>,</w:t>
      </w:r>
      <w:r w:rsidRPr="002C646E">
        <w:rPr>
          <w:rFonts w:ascii="Garamond" w:hAnsi="Garamond"/>
        </w:rPr>
        <w:t xml:space="preserve"> </w:t>
      </w:r>
      <w:r w:rsidRPr="00977A74">
        <w:rPr>
          <w:rFonts w:ascii="Garamond" w:hAnsi="Garamond"/>
          <w:i/>
        </w:rPr>
        <w:t>Derecho privado romano</w:t>
      </w:r>
      <w:r w:rsidRPr="002C646E">
        <w:rPr>
          <w:rFonts w:ascii="Garamond" w:hAnsi="Garamond"/>
        </w:rPr>
        <w:t xml:space="preserve"> (</w:t>
      </w:r>
      <w:r>
        <w:rPr>
          <w:rFonts w:ascii="Garamond" w:hAnsi="Garamond"/>
        </w:rPr>
        <w:t xml:space="preserve">reimp. 2010, </w:t>
      </w:r>
      <w:r w:rsidRPr="002C646E">
        <w:rPr>
          <w:rFonts w:ascii="Garamond" w:hAnsi="Garamond"/>
        </w:rPr>
        <w:t>Santiago,</w:t>
      </w:r>
      <w:r>
        <w:rPr>
          <w:rFonts w:ascii="Garamond" w:hAnsi="Garamond"/>
        </w:rPr>
        <w:t xml:space="preserve"> Editorial Jurídica de Chile,</w:t>
      </w:r>
      <w:r w:rsidRPr="002C646E">
        <w:rPr>
          <w:rFonts w:ascii="Garamond" w:hAnsi="Garamond"/>
        </w:rPr>
        <w:t xml:space="preserve"> 1996)</w:t>
      </w:r>
      <w:r w:rsidRPr="00572621">
        <w:rPr>
          <w:rFonts w:ascii="Garamond" w:hAnsi="Garamond"/>
          <w:lang w:val="es-CL"/>
        </w:rPr>
        <w:t xml:space="preserve">, </w:t>
      </w:r>
      <w:r w:rsidRPr="002C646E">
        <w:rPr>
          <w:rFonts w:ascii="Garamond" w:hAnsi="Garamond"/>
        </w:rPr>
        <w:t xml:space="preserve">II. </w:t>
      </w:r>
    </w:p>
    <w:p w:rsidR="00E229F1" w:rsidRPr="002C646E" w:rsidRDefault="00E229F1" w:rsidP="00F56192">
      <w:pPr>
        <w:ind w:left="142" w:hanging="142"/>
        <w:rPr>
          <w:rFonts w:ascii="Garamond" w:hAnsi="Garamond"/>
        </w:rPr>
      </w:pPr>
      <w:r w:rsidRPr="0030500D">
        <w:rPr>
          <w:rFonts w:ascii="Garamond" w:hAnsi="Garamond"/>
          <w:smallCaps/>
          <w:lang w:val="es-CL"/>
        </w:rPr>
        <w:t>Guzmán Dalbora</w:t>
      </w:r>
      <w:r w:rsidRPr="002C646E">
        <w:rPr>
          <w:rFonts w:ascii="Garamond" w:hAnsi="Garamond"/>
          <w:lang w:val="es-CL"/>
        </w:rPr>
        <w:t>, José Luis</w:t>
      </w:r>
      <w:r>
        <w:rPr>
          <w:rFonts w:ascii="Garamond" w:hAnsi="Garamond"/>
          <w:lang w:val="es-CL"/>
        </w:rPr>
        <w:t>,</w:t>
      </w:r>
      <w:r w:rsidRPr="002C646E">
        <w:rPr>
          <w:rFonts w:ascii="Garamond" w:hAnsi="Garamond"/>
          <w:lang w:val="es-CL"/>
        </w:rPr>
        <w:t xml:space="preserve"> </w:t>
      </w:r>
      <w:r w:rsidRPr="00EF35F9">
        <w:rPr>
          <w:rFonts w:ascii="Garamond" w:hAnsi="Garamond"/>
          <w:i/>
          <w:lang w:val="es-CL"/>
        </w:rPr>
        <w:t>Reseña histórica de la codificación penal y procesal penal en Chile</w:t>
      </w:r>
      <w:r w:rsidRPr="002C646E">
        <w:rPr>
          <w:rFonts w:ascii="Garamond" w:hAnsi="Garamond"/>
          <w:lang w:val="es-CL"/>
        </w:rPr>
        <w:t xml:space="preserve">, en </w:t>
      </w:r>
      <w:r w:rsidRPr="00EF35F9">
        <w:rPr>
          <w:rFonts w:ascii="Garamond" w:hAnsi="Garamond"/>
          <w:smallCaps/>
        </w:rPr>
        <w:t>Mañalich R.</w:t>
      </w:r>
      <w:r w:rsidRPr="002C646E">
        <w:rPr>
          <w:rFonts w:ascii="Garamond" w:hAnsi="Garamond"/>
        </w:rPr>
        <w:t xml:space="preserve">, Juan Pablo (coordinador), </w:t>
      </w:r>
      <w:r w:rsidRPr="00EF35F9">
        <w:rPr>
          <w:rFonts w:ascii="Garamond" w:hAnsi="Garamond"/>
          <w:i/>
        </w:rPr>
        <w:t>La ciencia penal en la Universidad de Chile. Libro homenaje a los profesores del Departamento de Ciencias Penales de la Facultad de Derecho de la Universidad de Chile</w:t>
      </w:r>
      <w:r w:rsidRPr="002C646E">
        <w:rPr>
          <w:rFonts w:ascii="Garamond" w:hAnsi="Garamond"/>
        </w:rPr>
        <w:t xml:space="preserve"> (Santiago, </w:t>
      </w:r>
      <w:r w:rsidRPr="002C646E">
        <w:rPr>
          <w:rFonts w:ascii="Garamond" w:hAnsi="Garamond"/>
          <w:lang w:val="es-CL"/>
        </w:rPr>
        <w:t>2013</w:t>
      </w:r>
      <w:r w:rsidRPr="002C646E">
        <w:rPr>
          <w:rFonts w:ascii="Garamond" w:hAnsi="Garamond"/>
        </w:rPr>
        <w:t>)</w:t>
      </w:r>
      <w:r>
        <w:rPr>
          <w:rFonts w:ascii="Garamond" w:hAnsi="Garamond"/>
        </w:rPr>
        <w:t>,</w:t>
      </w:r>
      <w:r w:rsidRPr="002C646E">
        <w:rPr>
          <w:rFonts w:ascii="Garamond" w:hAnsi="Garamond"/>
        </w:rPr>
        <w:t xml:space="preserve"> pp. 105-129.</w:t>
      </w:r>
    </w:p>
    <w:p w:rsidR="00E229F1" w:rsidRPr="002C646E" w:rsidRDefault="00E229F1" w:rsidP="00F56192">
      <w:pPr>
        <w:ind w:left="142" w:hanging="142"/>
        <w:rPr>
          <w:rFonts w:ascii="Garamond" w:hAnsi="Garamond"/>
        </w:rPr>
      </w:pPr>
      <w:r w:rsidRPr="0030500D">
        <w:rPr>
          <w:rFonts w:ascii="Garamond" w:hAnsi="Garamond"/>
          <w:smallCaps/>
        </w:rPr>
        <w:t>Hadwa</w:t>
      </w:r>
      <w:r w:rsidRPr="002C646E">
        <w:rPr>
          <w:rFonts w:ascii="Garamond" w:hAnsi="Garamond"/>
        </w:rPr>
        <w:t>, Marcelo</w:t>
      </w:r>
      <w:r>
        <w:rPr>
          <w:rFonts w:ascii="Garamond" w:hAnsi="Garamond"/>
        </w:rPr>
        <w:t>,</w:t>
      </w:r>
      <w:r w:rsidRPr="002C646E">
        <w:rPr>
          <w:rFonts w:ascii="Garamond" w:hAnsi="Garamond"/>
        </w:rPr>
        <w:t xml:space="preserve"> </w:t>
      </w:r>
      <w:r w:rsidRPr="005754B6">
        <w:rPr>
          <w:rFonts w:ascii="Garamond" w:hAnsi="Garamond"/>
          <w:i/>
        </w:rPr>
        <w:t>El sujeto activo en los delitos tributarios, y los problemas relativos a la participación criminal</w:t>
      </w:r>
      <w:r w:rsidRPr="002C646E">
        <w:rPr>
          <w:rFonts w:ascii="Garamond" w:hAnsi="Garamond"/>
        </w:rPr>
        <w:t xml:space="preserve">, </w:t>
      </w:r>
      <w:r>
        <w:rPr>
          <w:rFonts w:ascii="Garamond" w:hAnsi="Garamond"/>
        </w:rPr>
        <w:t xml:space="preserve">en </w:t>
      </w:r>
      <w:r w:rsidRPr="002C646E">
        <w:rPr>
          <w:rFonts w:ascii="Garamond" w:hAnsi="Garamond"/>
          <w:i/>
        </w:rPr>
        <w:t>Política Criminal</w:t>
      </w:r>
      <w:r>
        <w:rPr>
          <w:rFonts w:ascii="Garamond" w:hAnsi="Garamond"/>
        </w:rPr>
        <w:t>,</w:t>
      </w:r>
      <w:r w:rsidRPr="002C646E">
        <w:rPr>
          <w:rFonts w:ascii="Garamond" w:hAnsi="Garamond"/>
        </w:rPr>
        <w:t xml:space="preserve"> </w:t>
      </w:r>
      <w:r w:rsidRPr="005754B6">
        <w:rPr>
          <w:rFonts w:ascii="Garamond" w:hAnsi="Garamond"/>
        </w:rPr>
        <w:t>3</w:t>
      </w:r>
      <w:r>
        <w:rPr>
          <w:rFonts w:ascii="Garamond" w:hAnsi="Garamond"/>
        </w:rPr>
        <w:t xml:space="preserve"> </w:t>
      </w:r>
      <w:r w:rsidRPr="002C646E">
        <w:rPr>
          <w:rFonts w:ascii="Garamond" w:hAnsi="Garamond"/>
        </w:rPr>
        <w:t>(2007)</w:t>
      </w:r>
      <w:r>
        <w:rPr>
          <w:rFonts w:ascii="Garamond" w:hAnsi="Garamond"/>
        </w:rPr>
        <w:t>,</w:t>
      </w:r>
      <w:r w:rsidRPr="002C646E">
        <w:rPr>
          <w:rFonts w:ascii="Garamond" w:hAnsi="Garamond"/>
        </w:rPr>
        <w:t xml:space="preserve"> pp. 1-18. </w:t>
      </w:r>
    </w:p>
    <w:p w:rsidR="00E229F1" w:rsidRPr="002C646E" w:rsidRDefault="00E229F1" w:rsidP="00F56192">
      <w:pPr>
        <w:ind w:left="142" w:hanging="142"/>
        <w:rPr>
          <w:rFonts w:ascii="Garamond" w:hAnsi="Garamond"/>
        </w:rPr>
      </w:pPr>
      <w:r w:rsidRPr="0030500D">
        <w:rPr>
          <w:rFonts w:ascii="Garamond" w:hAnsi="Garamond"/>
          <w:smallCaps/>
        </w:rPr>
        <w:t>Hernández</w:t>
      </w:r>
      <w:r w:rsidRPr="002C646E">
        <w:rPr>
          <w:rFonts w:ascii="Garamond" w:hAnsi="Garamond"/>
        </w:rPr>
        <w:t>, Héctor</w:t>
      </w:r>
      <w:r>
        <w:rPr>
          <w:rFonts w:ascii="Garamond" w:hAnsi="Garamond"/>
        </w:rPr>
        <w:t>,</w:t>
      </w:r>
      <w:r w:rsidRPr="002C646E">
        <w:rPr>
          <w:rFonts w:ascii="Garamond" w:hAnsi="Garamond"/>
        </w:rPr>
        <w:t xml:space="preserve"> </w:t>
      </w:r>
      <w:r w:rsidRPr="0011014E">
        <w:rPr>
          <w:rFonts w:ascii="Garamond" w:hAnsi="Garamond"/>
          <w:i/>
        </w:rPr>
        <w:t>Comentario</w:t>
      </w:r>
      <w:r w:rsidRPr="002C646E">
        <w:rPr>
          <w:rFonts w:ascii="Garamond" w:hAnsi="Garamond"/>
        </w:rPr>
        <w:t xml:space="preserve"> en </w:t>
      </w:r>
      <w:r w:rsidRPr="0011014E">
        <w:rPr>
          <w:rFonts w:ascii="Garamond" w:hAnsi="Garamond"/>
          <w:smallCaps/>
        </w:rPr>
        <w:t>Couso</w:t>
      </w:r>
      <w:r w:rsidRPr="00FF3EFD">
        <w:rPr>
          <w:rFonts w:ascii="Garamond" w:hAnsi="Garamond"/>
        </w:rPr>
        <w:t xml:space="preserve"> </w:t>
      </w:r>
      <w:r w:rsidRPr="0011014E">
        <w:rPr>
          <w:rFonts w:ascii="Garamond" w:hAnsi="Garamond"/>
          <w:smallCaps/>
        </w:rPr>
        <w:t>Salas</w:t>
      </w:r>
      <w:r w:rsidRPr="002C646E">
        <w:rPr>
          <w:rFonts w:ascii="Garamond" w:hAnsi="Garamond"/>
        </w:rPr>
        <w:t xml:space="preserve">, Javier y </w:t>
      </w:r>
      <w:r w:rsidRPr="0011014E">
        <w:rPr>
          <w:rFonts w:ascii="Garamond" w:hAnsi="Garamond"/>
          <w:smallCaps/>
        </w:rPr>
        <w:t>Hernández</w:t>
      </w:r>
      <w:r w:rsidRPr="00FF3EFD">
        <w:rPr>
          <w:rFonts w:ascii="Garamond" w:hAnsi="Garamond"/>
        </w:rPr>
        <w:t xml:space="preserve"> </w:t>
      </w:r>
      <w:r w:rsidRPr="0011014E">
        <w:rPr>
          <w:rFonts w:ascii="Garamond" w:hAnsi="Garamond"/>
          <w:smallCaps/>
        </w:rPr>
        <w:t>Basualto</w:t>
      </w:r>
      <w:r w:rsidRPr="002C646E">
        <w:rPr>
          <w:rFonts w:ascii="Garamond" w:hAnsi="Garamond"/>
        </w:rPr>
        <w:t xml:space="preserve">, Héctor (directores), </w:t>
      </w:r>
      <w:r w:rsidRPr="0011014E">
        <w:rPr>
          <w:rFonts w:ascii="Garamond" w:hAnsi="Garamond"/>
          <w:i/>
        </w:rPr>
        <w:t>Código Penal comentado. Parte general. Doctrina y jurisprudencia</w:t>
      </w:r>
      <w:r w:rsidRPr="002C646E">
        <w:rPr>
          <w:rFonts w:ascii="Garamond" w:hAnsi="Garamond"/>
          <w:i/>
        </w:rPr>
        <w:t xml:space="preserve"> </w:t>
      </w:r>
      <w:r w:rsidRPr="002C646E">
        <w:rPr>
          <w:rFonts w:ascii="Garamond" w:hAnsi="Garamond"/>
        </w:rPr>
        <w:t xml:space="preserve">(Santiago, </w:t>
      </w:r>
      <w:r>
        <w:rPr>
          <w:rFonts w:ascii="Garamond" w:hAnsi="Garamond"/>
        </w:rPr>
        <w:t xml:space="preserve">Legal Publishing, </w:t>
      </w:r>
      <w:r w:rsidRPr="002C646E">
        <w:rPr>
          <w:rFonts w:ascii="Garamond" w:hAnsi="Garamond"/>
        </w:rPr>
        <w:t>2011)</w:t>
      </w:r>
      <w:r>
        <w:rPr>
          <w:rFonts w:ascii="Garamond" w:hAnsi="Garamond"/>
        </w:rPr>
        <w:t>,</w:t>
      </w:r>
      <w:r w:rsidRPr="002C646E">
        <w:rPr>
          <w:rFonts w:ascii="Garamond" w:hAnsi="Garamond"/>
        </w:rPr>
        <w:t xml:space="preserve"> pp. 367-381.</w:t>
      </w:r>
    </w:p>
    <w:p w:rsidR="00E229F1" w:rsidRPr="002C646E" w:rsidRDefault="00E229F1" w:rsidP="00F56192">
      <w:pPr>
        <w:ind w:left="142" w:hanging="142"/>
        <w:rPr>
          <w:rFonts w:ascii="Garamond" w:hAnsi="Garamond"/>
        </w:rPr>
      </w:pPr>
      <w:r w:rsidRPr="0030500D">
        <w:rPr>
          <w:rFonts w:ascii="Garamond" w:hAnsi="Garamond"/>
          <w:smallCaps/>
        </w:rPr>
        <w:t>Hierrezuelo Conde</w:t>
      </w:r>
      <w:r w:rsidRPr="002C646E">
        <w:rPr>
          <w:rFonts w:ascii="Garamond" w:hAnsi="Garamond"/>
        </w:rPr>
        <w:t>, Guillermo</w:t>
      </w:r>
      <w:r>
        <w:rPr>
          <w:rFonts w:ascii="Garamond" w:hAnsi="Garamond"/>
        </w:rPr>
        <w:t>,</w:t>
      </w:r>
      <w:r w:rsidRPr="002C646E">
        <w:rPr>
          <w:rFonts w:ascii="Garamond" w:hAnsi="Garamond"/>
        </w:rPr>
        <w:t xml:space="preserve"> </w:t>
      </w:r>
      <w:r w:rsidRPr="00EF35F9">
        <w:rPr>
          <w:rFonts w:ascii="Garamond" w:hAnsi="Garamond"/>
          <w:i/>
        </w:rPr>
        <w:t>Recensión. Iñesta Pastor, Emilia,</w:t>
      </w:r>
      <w:r w:rsidRPr="002C646E">
        <w:rPr>
          <w:rFonts w:ascii="Garamond" w:hAnsi="Garamond"/>
        </w:rPr>
        <w:t xml:space="preserve"> </w:t>
      </w:r>
      <w:r w:rsidRPr="00EF35F9">
        <w:rPr>
          <w:rFonts w:ascii="Garamond" w:hAnsi="Garamond"/>
        </w:rPr>
        <w:t>El Código Penal español de 1848</w:t>
      </w:r>
      <w:r w:rsidRPr="00EF35F9">
        <w:rPr>
          <w:rFonts w:ascii="Garamond" w:hAnsi="Garamond"/>
          <w:i/>
        </w:rPr>
        <w:t xml:space="preserve"> (Valencia, Tirant lo Blanch, 2011), 935 pp.</w:t>
      </w:r>
      <w:r w:rsidRPr="002C646E">
        <w:rPr>
          <w:rFonts w:ascii="Garamond" w:hAnsi="Garamond"/>
        </w:rPr>
        <w:t xml:space="preserve">, </w:t>
      </w:r>
      <w:r>
        <w:rPr>
          <w:rFonts w:ascii="Garamond" w:hAnsi="Garamond"/>
        </w:rPr>
        <w:t xml:space="preserve">en </w:t>
      </w:r>
      <w:r w:rsidRPr="002C646E">
        <w:rPr>
          <w:rFonts w:ascii="Garamond" w:hAnsi="Garamond"/>
          <w:i/>
        </w:rPr>
        <w:t>REHJ</w:t>
      </w:r>
      <w:r>
        <w:rPr>
          <w:rFonts w:ascii="Garamond" w:hAnsi="Garamond"/>
        </w:rPr>
        <w:t>,</w:t>
      </w:r>
      <w:r w:rsidRPr="002C646E">
        <w:rPr>
          <w:rFonts w:ascii="Garamond" w:hAnsi="Garamond"/>
        </w:rPr>
        <w:t xml:space="preserve"> </w:t>
      </w:r>
      <w:r w:rsidRPr="00EF35F9">
        <w:rPr>
          <w:rFonts w:ascii="Garamond" w:hAnsi="Garamond"/>
        </w:rPr>
        <w:t>XXXIII</w:t>
      </w:r>
      <w:r>
        <w:rPr>
          <w:rFonts w:ascii="Garamond" w:hAnsi="Garamond"/>
        </w:rPr>
        <w:t xml:space="preserve"> </w:t>
      </w:r>
      <w:r w:rsidRPr="002C646E">
        <w:rPr>
          <w:rFonts w:ascii="Garamond" w:hAnsi="Garamond"/>
        </w:rPr>
        <w:t>(2011)</w:t>
      </w:r>
      <w:r>
        <w:rPr>
          <w:rFonts w:ascii="Garamond" w:hAnsi="Garamond"/>
        </w:rPr>
        <w:t>,</w:t>
      </w:r>
      <w:r w:rsidRPr="002C646E">
        <w:rPr>
          <w:rFonts w:ascii="Garamond" w:hAnsi="Garamond"/>
        </w:rPr>
        <w:t xml:space="preserve"> pp. 702-706. </w:t>
      </w:r>
    </w:p>
    <w:p w:rsidR="00E229F1" w:rsidRDefault="00E229F1" w:rsidP="00F56192">
      <w:pPr>
        <w:ind w:left="142" w:hanging="142"/>
        <w:rPr>
          <w:rFonts w:ascii="Garamond" w:hAnsi="Garamond"/>
        </w:rPr>
      </w:pPr>
      <w:r w:rsidRPr="0030500D">
        <w:rPr>
          <w:rFonts w:ascii="Garamond" w:hAnsi="Garamond"/>
          <w:smallCaps/>
        </w:rPr>
        <w:t>Iñesta Pastor</w:t>
      </w:r>
      <w:r w:rsidRPr="002C646E">
        <w:rPr>
          <w:rFonts w:ascii="Garamond" w:hAnsi="Garamond"/>
        </w:rPr>
        <w:t>, Emilia</w:t>
      </w:r>
      <w:r>
        <w:rPr>
          <w:rFonts w:ascii="Garamond" w:hAnsi="Garamond"/>
        </w:rPr>
        <w:t>,</w:t>
      </w:r>
      <w:r w:rsidRPr="002C646E">
        <w:rPr>
          <w:rFonts w:ascii="Garamond" w:hAnsi="Garamond"/>
        </w:rPr>
        <w:t xml:space="preserve"> </w:t>
      </w:r>
      <w:r w:rsidRPr="006954C9">
        <w:rPr>
          <w:rFonts w:ascii="Garamond" w:hAnsi="Garamond"/>
          <w:i/>
        </w:rPr>
        <w:t>El Código Penal chileno de 1874</w:t>
      </w:r>
      <w:r w:rsidRPr="002C646E">
        <w:rPr>
          <w:rFonts w:ascii="Garamond" w:hAnsi="Garamond"/>
        </w:rPr>
        <w:t xml:space="preserve">, </w:t>
      </w:r>
      <w:r>
        <w:rPr>
          <w:rFonts w:ascii="Garamond" w:hAnsi="Garamond"/>
        </w:rPr>
        <w:t xml:space="preserve">en </w:t>
      </w:r>
      <w:r w:rsidRPr="002C646E">
        <w:rPr>
          <w:rFonts w:ascii="Garamond" w:hAnsi="Garamond"/>
          <w:i/>
        </w:rPr>
        <w:t>RChHD</w:t>
      </w:r>
      <w:r w:rsidRPr="006954C9">
        <w:rPr>
          <w:rFonts w:ascii="Garamond" w:hAnsi="Garamond"/>
        </w:rPr>
        <w:t>, 19</w:t>
      </w:r>
      <w:r>
        <w:rPr>
          <w:rFonts w:ascii="Garamond" w:hAnsi="Garamond"/>
        </w:rPr>
        <w:t xml:space="preserve"> (</w:t>
      </w:r>
      <w:r w:rsidRPr="002C646E">
        <w:rPr>
          <w:rFonts w:ascii="Garamond" w:hAnsi="Garamond"/>
        </w:rPr>
        <w:t>2003</w:t>
      </w:r>
      <w:r>
        <w:rPr>
          <w:rFonts w:ascii="Garamond" w:hAnsi="Garamond"/>
        </w:rPr>
        <w:t>),</w:t>
      </w:r>
      <w:r w:rsidRPr="002C646E">
        <w:rPr>
          <w:rFonts w:ascii="Garamond" w:hAnsi="Garamond"/>
        </w:rPr>
        <w:t xml:space="preserve"> pp. 293-382. </w:t>
      </w:r>
    </w:p>
    <w:p w:rsidR="00E229F1" w:rsidRDefault="00E229F1" w:rsidP="00F56192">
      <w:pPr>
        <w:ind w:left="142" w:hanging="142"/>
        <w:rPr>
          <w:rFonts w:ascii="Garamond" w:hAnsi="Garamond"/>
        </w:rPr>
      </w:pPr>
      <w:r w:rsidRPr="0030500D">
        <w:rPr>
          <w:rFonts w:ascii="Garamond" w:hAnsi="Garamond"/>
          <w:smallCaps/>
        </w:rPr>
        <w:t>Iñesta Pastor</w:t>
      </w:r>
      <w:r>
        <w:rPr>
          <w:rFonts w:ascii="Garamond" w:hAnsi="Garamond"/>
        </w:rPr>
        <w:t xml:space="preserve">, Emilia, </w:t>
      </w:r>
      <w:r w:rsidRPr="00502C83">
        <w:rPr>
          <w:rFonts w:ascii="Garamond" w:hAnsi="Garamond"/>
          <w:i/>
        </w:rPr>
        <w:t>El Código Penal español de 1848</w:t>
      </w:r>
      <w:r>
        <w:rPr>
          <w:rFonts w:ascii="Garamond" w:hAnsi="Garamond"/>
        </w:rPr>
        <w:t xml:space="preserve">, (Valencia, Tirant lo Blanch, 2011). </w:t>
      </w:r>
    </w:p>
    <w:p w:rsidR="00E229F1" w:rsidRPr="000C3C7F" w:rsidRDefault="00E229F1" w:rsidP="00F56192">
      <w:pPr>
        <w:ind w:left="142" w:hanging="142"/>
        <w:rPr>
          <w:rFonts w:ascii="Garamond" w:hAnsi="Garamond"/>
          <w:lang w:val="it-IT"/>
        </w:rPr>
      </w:pPr>
      <w:r w:rsidRPr="00B4732F">
        <w:rPr>
          <w:rFonts w:ascii="Garamond" w:hAnsi="Garamond"/>
          <w:smallCaps/>
          <w:lang w:val="en-US"/>
        </w:rPr>
        <w:lastRenderedPageBreak/>
        <w:t>Iñesta Pastor</w:t>
      </w:r>
      <w:r w:rsidRPr="002D3415">
        <w:rPr>
          <w:rFonts w:ascii="Garamond" w:hAnsi="Garamond"/>
          <w:lang w:val="en-US"/>
        </w:rPr>
        <w:t xml:space="preserve">, Emilia, </w:t>
      </w:r>
      <w:r w:rsidRPr="00F94D6F">
        <w:rPr>
          <w:rFonts w:ascii="Garamond" w:hAnsi="Garamond"/>
          <w:i/>
          <w:lang w:val="en-US"/>
        </w:rPr>
        <w:t>The influence of the 1819 criminal code of the Two Sicilies upon the Spanish criminal law codification and the parliament of the nineteenth century</w:t>
      </w:r>
      <w:r w:rsidRPr="002D3415">
        <w:rPr>
          <w:rFonts w:ascii="Garamond" w:hAnsi="Garamond"/>
          <w:lang w:val="en-US"/>
        </w:rPr>
        <w:t xml:space="preserve">, en </w:t>
      </w:r>
      <w:r w:rsidRPr="00DF108F">
        <w:rPr>
          <w:rFonts w:ascii="Garamond" w:hAnsi="Garamond"/>
          <w:smallCaps/>
          <w:lang w:val="en-US"/>
        </w:rPr>
        <w:t>Romano</w:t>
      </w:r>
      <w:r w:rsidRPr="00DF108F">
        <w:rPr>
          <w:rFonts w:ascii="Garamond" w:hAnsi="Garamond"/>
          <w:lang w:val="en-US"/>
        </w:rPr>
        <w:t xml:space="preserve">, Andrea (a </w:t>
      </w:r>
      <w:proofErr w:type="spellStart"/>
      <w:r w:rsidRPr="00DF108F">
        <w:rPr>
          <w:rFonts w:ascii="Garamond" w:hAnsi="Garamond"/>
          <w:lang w:val="en-US"/>
        </w:rPr>
        <w:t>cura</w:t>
      </w:r>
      <w:proofErr w:type="spellEnd"/>
      <w:r w:rsidRPr="00DF108F">
        <w:rPr>
          <w:rFonts w:ascii="Garamond" w:hAnsi="Garamond"/>
          <w:lang w:val="en-US"/>
        </w:rPr>
        <w:t xml:space="preserve"> di), </w:t>
      </w:r>
      <w:r w:rsidRPr="00DF108F">
        <w:rPr>
          <w:rFonts w:ascii="Garamond" w:hAnsi="Garamond"/>
          <w:i/>
          <w:lang w:val="en-US"/>
        </w:rPr>
        <w:t xml:space="preserve">Culture </w:t>
      </w:r>
      <w:proofErr w:type="spellStart"/>
      <w:r w:rsidRPr="00DF108F">
        <w:rPr>
          <w:rFonts w:ascii="Garamond" w:hAnsi="Garamond"/>
          <w:i/>
          <w:lang w:val="en-US"/>
        </w:rPr>
        <w:t>parlamentari</w:t>
      </w:r>
      <w:proofErr w:type="spellEnd"/>
      <w:r w:rsidRPr="00DF108F">
        <w:rPr>
          <w:rFonts w:ascii="Garamond" w:hAnsi="Garamond"/>
          <w:i/>
          <w:lang w:val="en-US"/>
        </w:rPr>
        <w:t xml:space="preserve"> a </w:t>
      </w:r>
      <w:proofErr w:type="spellStart"/>
      <w:r w:rsidRPr="00DF108F">
        <w:rPr>
          <w:rFonts w:ascii="Garamond" w:hAnsi="Garamond"/>
          <w:i/>
          <w:lang w:val="en-US"/>
        </w:rPr>
        <w:t>confront</w:t>
      </w:r>
      <w:r w:rsidR="00114806" w:rsidRPr="00DF108F">
        <w:rPr>
          <w:rFonts w:ascii="Garamond" w:hAnsi="Garamond"/>
          <w:i/>
          <w:lang w:val="en-US"/>
        </w:rPr>
        <w:t>o</w:t>
      </w:r>
      <w:proofErr w:type="spellEnd"/>
      <w:r w:rsidRPr="00DF108F">
        <w:rPr>
          <w:rFonts w:ascii="Garamond" w:hAnsi="Garamond"/>
          <w:i/>
          <w:lang w:val="en-US"/>
        </w:rPr>
        <w:t xml:space="preserve">. </w:t>
      </w:r>
      <w:r w:rsidRPr="00A36B88">
        <w:rPr>
          <w:rFonts w:ascii="Garamond" w:hAnsi="Garamond"/>
          <w:i/>
          <w:lang w:val="it-IT"/>
        </w:rPr>
        <w:t>Modelli de lla rappresentanza politica e identità nazionali</w:t>
      </w:r>
      <w:r w:rsidRPr="00E52360">
        <w:rPr>
          <w:rFonts w:ascii="Garamond" w:hAnsi="Garamond"/>
          <w:lang w:val="it-IT"/>
        </w:rPr>
        <w:t xml:space="preserve"> (Bologna, CLUEB Casa editrice, 2016).</w:t>
      </w:r>
      <w:r w:rsidRPr="000C3C7F">
        <w:rPr>
          <w:rFonts w:ascii="Garamond" w:hAnsi="Garamond"/>
          <w:lang w:val="it-IT"/>
        </w:rPr>
        <w:t xml:space="preserve"> </w:t>
      </w:r>
    </w:p>
    <w:p w:rsidR="00E229F1" w:rsidRPr="002C646E" w:rsidRDefault="00E229F1" w:rsidP="00F56192">
      <w:pPr>
        <w:ind w:left="142" w:hanging="142"/>
        <w:rPr>
          <w:rFonts w:ascii="Garamond" w:hAnsi="Garamond"/>
        </w:rPr>
      </w:pPr>
      <w:r w:rsidRPr="0030500D">
        <w:rPr>
          <w:rFonts w:ascii="Garamond" w:hAnsi="Garamond"/>
          <w:smallCaps/>
        </w:rPr>
        <w:t>Jiménez de Asúa</w:t>
      </w:r>
      <w:r w:rsidRPr="002C646E">
        <w:rPr>
          <w:rFonts w:ascii="Garamond" w:hAnsi="Garamond"/>
        </w:rPr>
        <w:t>, Luis</w:t>
      </w:r>
      <w:r>
        <w:rPr>
          <w:rFonts w:ascii="Garamond" w:hAnsi="Garamond"/>
        </w:rPr>
        <w:t>,</w:t>
      </w:r>
      <w:r w:rsidRPr="002C646E">
        <w:rPr>
          <w:rFonts w:ascii="Garamond" w:hAnsi="Garamond"/>
        </w:rPr>
        <w:t xml:space="preserve"> </w:t>
      </w:r>
      <w:r w:rsidRPr="0070405A">
        <w:rPr>
          <w:rFonts w:ascii="Garamond" w:hAnsi="Garamond"/>
          <w:i/>
        </w:rPr>
        <w:t>Tratado de Derecho Penal</w:t>
      </w:r>
      <w:r w:rsidRPr="002C646E">
        <w:rPr>
          <w:rFonts w:ascii="Garamond" w:hAnsi="Garamond"/>
        </w:rPr>
        <w:t xml:space="preserve"> (</w:t>
      </w:r>
      <w:r>
        <w:rPr>
          <w:rFonts w:ascii="Garamond" w:hAnsi="Garamond"/>
        </w:rPr>
        <w:t xml:space="preserve">1950, 4ª edición, </w:t>
      </w:r>
      <w:r w:rsidRPr="002C646E">
        <w:rPr>
          <w:rFonts w:ascii="Garamond" w:hAnsi="Garamond"/>
        </w:rPr>
        <w:t xml:space="preserve">Buenos Aires, </w:t>
      </w:r>
      <w:r>
        <w:rPr>
          <w:rFonts w:ascii="Garamond" w:hAnsi="Garamond"/>
        </w:rPr>
        <w:t xml:space="preserve">Editorial Losada S.A., </w:t>
      </w:r>
      <w:r w:rsidRPr="002C646E">
        <w:rPr>
          <w:rFonts w:ascii="Garamond" w:hAnsi="Garamond"/>
        </w:rPr>
        <w:t>1964)</w:t>
      </w:r>
      <w:r>
        <w:rPr>
          <w:rFonts w:ascii="Garamond" w:hAnsi="Garamond"/>
        </w:rPr>
        <w:t xml:space="preserve">, </w:t>
      </w:r>
      <w:r w:rsidRPr="002C646E">
        <w:rPr>
          <w:rFonts w:ascii="Garamond" w:hAnsi="Garamond"/>
        </w:rPr>
        <w:t xml:space="preserve">I. </w:t>
      </w:r>
    </w:p>
    <w:p w:rsidR="00E229F1" w:rsidRDefault="00E229F1" w:rsidP="00F56192">
      <w:pPr>
        <w:ind w:left="142" w:hanging="142"/>
        <w:rPr>
          <w:rFonts w:ascii="Garamond" w:hAnsi="Garamond"/>
        </w:rPr>
      </w:pPr>
      <w:r w:rsidRPr="00AC004F">
        <w:rPr>
          <w:rFonts w:ascii="Garamond" w:hAnsi="Garamond"/>
          <w:smallCaps/>
        </w:rPr>
        <w:t>Labatut Glena</w:t>
      </w:r>
      <w:r w:rsidRPr="00572621">
        <w:rPr>
          <w:rFonts w:ascii="Garamond" w:hAnsi="Garamond"/>
        </w:rPr>
        <w:t xml:space="preserve">, Gustavo, </w:t>
      </w:r>
      <w:r w:rsidRPr="00D21877">
        <w:rPr>
          <w:rFonts w:ascii="Garamond" w:hAnsi="Garamond"/>
          <w:i/>
        </w:rPr>
        <w:t>Derecho Penal</w:t>
      </w:r>
      <w:r w:rsidRPr="00572621">
        <w:rPr>
          <w:rFonts w:ascii="Garamond" w:hAnsi="Garamond"/>
        </w:rPr>
        <w:t xml:space="preserve">, </w:t>
      </w:r>
      <w:r>
        <w:rPr>
          <w:rFonts w:ascii="Garamond" w:hAnsi="Garamond"/>
        </w:rPr>
        <w:t xml:space="preserve">I, </w:t>
      </w:r>
      <w:r w:rsidRPr="00572621">
        <w:rPr>
          <w:rFonts w:ascii="Garamond" w:hAnsi="Garamond"/>
        </w:rPr>
        <w:t>(</w:t>
      </w:r>
      <w:r>
        <w:rPr>
          <w:rFonts w:ascii="Garamond" w:hAnsi="Garamond"/>
        </w:rPr>
        <w:t xml:space="preserve">1951, </w:t>
      </w:r>
      <w:r w:rsidRPr="00572621">
        <w:rPr>
          <w:rFonts w:ascii="Garamond" w:hAnsi="Garamond"/>
        </w:rPr>
        <w:t>actualizada por Julio Zenteno Vargas,</w:t>
      </w:r>
      <w:r w:rsidRPr="001D6A6B">
        <w:rPr>
          <w:rFonts w:ascii="Garamond" w:hAnsi="Garamond"/>
        </w:rPr>
        <w:t xml:space="preserve"> </w:t>
      </w:r>
      <w:r>
        <w:rPr>
          <w:rFonts w:ascii="Garamond" w:hAnsi="Garamond"/>
        </w:rPr>
        <w:t xml:space="preserve">reimp. 2005, séptima edición,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1989)</w:t>
      </w:r>
      <w:r w:rsidRPr="002C646E">
        <w:rPr>
          <w:rFonts w:ascii="Garamond" w:hAnsi="Garamond"/>
        </w:rPr>
        <w:t xml:space="preserve">. </w:t>
      </w:r>
    </w:p>
    <w:p w:rsidR="00E229F1" w:rsidRPr="002C646E" w:rsidRDefault="00E229F1" w:rsidP="00F56192">
      <w:pPr>
        <w:ind w:left="142" w:hanging="142"/>
        <w:rPr>
          <w:rFonts w:ascii="Garamond" w:hAnsi="Garamond"/>
        </w:rPr>
      </w:pPr>
      <w:r w:rsidRPr="00682258">
        <w:rPr>
          <w:rFonts w:ascii="Garamond" w:hAnsi="Garamond"/>
          <w:smallCaps/>
        </w:rPr>
        <w:t>Lazo</w:t>
      </w:r>
      <w:r>
        <w:rPr>
          <w:rFonts w:ascii="Garamond" w:hAnsi="Garamond"/>
        </w:rPr>
        <w:t xml:space="preserve">, Santiago, </w:t>
      </w:r>
      <w:r w:rsidRPr="009B13B7">
        <w:rPr>
          <w:rFonts w:ascii="Garamond" w:hAnsi="Garamond"/>
          <w:i/>
        </w:rPr>
        <w:t>Código Penal. Orígenes, concordancias, jurisprudencia</w:t>
      </w:r>
      <w:r>
        <w:rPr>
          <w:rFonts w:ascii="Garamond" w:hAnsi="Garamond"/>
        </w:rPr>
        <w:t>,</w:t>
      </w:r>
      <w:r w:rsidRPr="00572621">
        <w:rPr>
          <w:rFonts w:ascii="Garamond" w:hAnsi="Garamond"/>
        </w:rPr>
        <w:t xml:space="preserve"> (</w:t>
      </w:r>
      <w:r>
        <w:rPr>
          <w:rFonts w:ascii="Garamond" w:hAnsi="Garamond"/>
        </w:rPr>
        <w:t xml:space="preserve">Santiago, Poblete Cruzat Hnos. Editores, </w:t>
      </w:r>
      <w:r w:rsidRPr="00572621">
        <w:rPr>
          <w:rFonts w:ascii="Garamond" w:hAnsi="Garamond"/>
        </w:rPr>
        <w:t>1915)</w:t>
      </w:r>
      <w:r w:rsidRPr="009929AB">
        <w:rPr>
          <w:rFonts w:ascii="Garamond" w:hAnsi="Garamond"/>
        </w:rPr>
        <w:t>.</w:t>
      </w:r>
    </w:p>
    <w:p w:rsidR="00E229F1" w:rsidRPr="002C646E" w:rsidRDefault="00E229F1" w:rsidP="00F56192">
      <w:pPr>
        <w:ind w:left="142" w:hanging="142"/>
        <w:rPr>
          <w:rFonts w:ascii="Garamond" w:hAnsi="Garamond"/>
          <w:smallCaps/>
        </w:rPr>
      </w:pPr>
      <w:r w:rsidRPr="0030500D">
        <w:rPr>
          <w:rFonts w:ascii="Garamond" w:hAnsi="Garamond"/>
          <w:smallCaps/>
        </w:rPr>
        <w:t>Leiva</w:t>
      </w:r>
      <w:r w:rsidRPr="0030500D">
        <w:rPr>
          <w:rFonts w:ascii="Garamond" w:hAnsi="Garamond"/>
        </w:rPr>
        <w:t xml:space="preserve"> </w:t>
      </w:r>
      <w:r w:rsidRPr="0030500D">
        <w:rPr>
          <w:rFonts w:ascii="Garamond" w:hAnsi="Garamond"/>
          <w:smallCaps/>
        </w:rPr>
        <w:t>López</w:t>
      </w:r>
      <w:r w:rsidRPr="00572621">
        <w:rPr>
          <w:rFonts w:ascii="Garamond" w:hAnsi="Garamond"/>
        </w:rPr>
        <w:t xml:space="preserve">, Alejandro, </w:t>
      </w:r>
      <w:r w:rsidRPr="00D21877">
        <w:rPr>
          <w:rFonts w:ascii="Garamond" w:hAnsi="Garamond"/>
          <w:i/>
        </w:rPr>
        <w:t>La comunicabilidad en el Derecho penal chileno a partir de su interpretación práctica. Mirada crítica a su formulación como ‘principio del Derecho</w:t>
      </w:r>
      <w:r w:rsidRPr="00572621">
        <w:rPr>
          <w:rFonts w:ascii="Garamond" w:hAnsi="Garamond"/>
        </w:rPr>
        <w:t xml:space="preserve">, en </w:t>
      </w:r>
      <w:r w:rsidRPr="00572621">
        <w:rPr>
          <w:rFonts w:ascii="Garamond" w:hAnsi="Garamond"/>
          <w:i/>
        </w:rPr>
        <w:t>Revista de Derecho de la Pontificia Universidad Católica de Valparaíso</w:t>
      </w:r>
      <w:r>
        <w:rPr>
          <w:rFonts w:ascii="Garamond" w:hAnsi="Garamond"/>
          <w:i/>
        </w:rPr>
        <w:t>,</w:t>
      </w:r>
      <w:r w:rsidRPr="00572621">
        <w:rPr>
          <w:rFonts w:ascii="Garamond" w:hAnsi="Garamond"/>
        </w:rPr>
        <w:t xml:space="preserve"> </w:t>
      </w:r>
      <w:r w:rsidRPr="00D21877">
        <w:rPr>
          <w:rFonts w:ascii="Garamond" w:hAnsi="Garamond"/>
        </w:rPr>
        <w:t>XLIX,</w:t>
      </w:r>
      <w:r w:rsidRPr="00572621">
        <w:rPr>
          <w:rFonts w:ascii="Garamond" w:hAnsi="Garamond"/>
        </w:rPr>
        <w:t xml:space="preserve"> (2017)</w:t>
      </w:r>
      <w:r>
        <w:rPr>
          <w:rFonts w:ascii="Garamond" w:hAnsi="Garamond"/>
        </w:rPr>
        <w:t>,</w:t>
      </w:r>
      <w:r w:rsidRPr="002C646E">
        <w:rPr>
          <w:rFonts w:ascii="Garamond" w:hAnsi="Garamond"/>
        </w:rPr>
        <w:t xml:space="preserve"> pp. 219-253. </w:t>
      </w:r>
    </w:p>
    <w:p w:rsidR="00E229F1" w:rsidRPr="002C646E" w:rsidRDefault="00E229F1" w:rsidP="00F56192">
      <w:pPr>
        <w:ind w:left="142" w:hanging="142"/>
        <w:rPr>
          <w:rFonts w:ascii="Garamond" w:hAnsi="Garamond"/>
        </w:rPr>
      </w:pPr>
      <w:r w:rsidRPr="0030500D">
        <w:rPr>
          <w:rFonts w:ascii="Garamond" w:hAnsi="Garamond"/>
          <w:smallCaps/>
        </w:rPr>
        <w:t>Mañalich R.</w:t>
      </w:r>
      <w:r w:rsidRPr="002C646E">
        <w:rPr>
          <w:rFonts w:ascii="Garamond" w:hAnsi="Garamond"/>
        </w:rPr>
        <w:t>, Juan Pablo</w:t>
      </w:r>
      <w:r>
        <w:rPr>
          <w:rFonts w:ascii="Garamond" w:hAnsi="Garamond"/>
        </w:rPr>
        <w:t>,</w:t>
      </w:r>
      <w:r w:rsidRPr="002C646E">
        <w:rPr>
          <w:rFonts w:ascii="Garamond" w:hAnsi="Garamond"/>
        </w:rPr>
        <w:t xml:space="preserve"> </w:t>
      </w:r>
      <w:r w:rsidRPr="00761CE5">
        <w:rPr>
          <w:rFonts w:ascii="Garamond" w:hAnsi="Garamond"/>
          <w:i/>
        </w:rPr>
        <w:t>La malversación de caudales públicos y el fraude al fisco como delitos especiales</w:t>
      </w:r>
      <w:r w:rsidRPr="002C646E">
        <w:rPr>
          <w:rFonts w:ascii="Garamond" w:hAnsi="Garamond"/>
        </w:rPr>
        <w:t xml:space="preserve">, </w:t>
      </w:r>
      <w:r>
        <w:rPr>
          <w:rFonts w:ascii="Garamond" w:hAnsi="Garamond"/>
        </w:rPr>
        <w:t xml:space="preserve">en </w:t>
      </w:r>
      <w:r w:rsidRPr="002C646E">
        <w:rPr>
          <w:rFonts w:ascii="Garamond" w:hAnsi="Garamond"/>
          <w:i/>
        </w:rPr>
        <w:t>Política Criminal</w:t>
      </w:r>
      <w:r>
        <w:rPr>
          <w:rFonts w:ascii="Garamond" w:hAnsi="Garamond"/>
        </w:rPr>
        <w:t xml:space="preserve">, </w:t>
      </w:r>
      <w:r w:rsidRPr="00761CE5">
        <w:rPr>
          <w:rFonts w:ascii="Garamond" w:hAnsi="Garamond"/>
        </w:rPr>
        <w:t>7</w:t>
      </w:r>
      <w:r>
        <w:rPr>
          <w:rFonts w:ascii="Garamond" w:hAnsi="Garamond"/>
        </w:rPr>
        <w:t xml:space="preserve"> </w:t>
      </w:r>
      <w:r w:rsidRPr="002C646E">
        <w:rPr>
          <w:rFonts w:ascii="Garamond" w:hAnsi="Garamond"/>
          <w:smallCaps/>
        </w:rPr>
        <w:t>(2012</w:t>
      </w:r>
      <w:r w:rsidRPr="002C646E">
        <w:rPr>
          <w:rFonts w:ascii="Garamond" w:hAnsi="Garamond"/>
        </w:rPr>
        <w:t>)</w:t>
      </w:r>
      <w:r>
        <w:rPr>
          <w:rFonts w:ascii="Garamond" w:hAnsi="Garamond"/>
        </w:rPr>
        <w:t>,</w:t>
      </w:r>
      <w:r w:rsidRPr="007A2A39">
        <w:rPr>
          <w:rFonts w:ascii="Garamond" w:hAnsi="Garamond"/>
        </w:rPr>
        <w:t xml:space="preserve"> </w:t>
      </w:r>
      <w:r w:rsidRPr="00761CE5">
        <w:rPr>
          <w:rFonts w:ascii="Garamond" w:hAnsi="Garamond"/>
        </w:rPr>
        <w:t>14</w:t>
      </w:r>
      <w:r>
        <w:rPr>
          <w:rFonts w:ascii="Garamond" w:hAnsi="Garamond"/>
        </w:rPr>
        <w:t xml:space="preserve">, </w:t>
      </w:r>
      <w:r w:rsidRPr="002C646E">
        <w:rPr>
          <w:rFonts w:ascii="Garamond" w:hAnsi="Garamond"/>
        </w:rPr>
        <w:t xml:space="preserve">pp. 357-377. </w:t>
      </w:r>
    </w:p>
    <w:p w:rsidR="00E229F1" w:rsidRPr="002C646E" w:rsidRDefault="00E229F1" w:rsidP="00F56192">
      <w:pPr>
        <w:ind w:left="142" w:hanging="142"/>
        <w:rPr>
          <w:rFonts w:ascii="Garamond" w:hAnsi="Garamond"/>
        </w:rPr>
      </w:pPr>
      <w:r w:rsidRPr="0030500D">
        <w:rPr>
          <w:rFonts w:ascii="Garamond" w:hAnsi="Garamond"/>
          <w:smallCaps/>
        </w:rPr>
        <w:t>Matus</w:t>
      </w:r>
      <w:r w:rsidRPr="0030500D">
        <w:rPr>
          <w:rFonts w:ascii="Garamond" w:hAnsi="Garamond"/>
        </w:rPr>
        <w:t>, Jean Pierre</w:t>
      </w:r>
      <w:r w:rsidRPr="00821CC3">
        <w:rPr>
          <w:rFonts w:ascii="Garamond" w:hAnsi="Garamond"/>
        </w:rPr>
        <w:t xml:space="preserve">, </w:t>
      </w:r>
      <w:r w:rsidRPr="00821CC3">
        <w:rPr>
          <w:rFonts w:ascii="Garamond" w:hAnsi="Garamond"/>
          <w:i/>
        </w:rPr>
        <w:t>La doctrina penal de la (fallida) recodificación chilena del Siglo XX y principios del Siglo XXI</w:t>
      </w:r>
      <w:r w:rsidRPr="00821CC3">
        <w:rPr>
          <w:rFonts w:ascii="Garamond" w:hAnsi="Garamond"/>
        </w:rPr>
        <w:t xml:space="preserve">, en </w:t>
      </w:r>
      <w:r w:rsidRPr="00821CC3">
        <w:rPr>
          <w:rFonts w:ascii="Garamond" w:hAnsi="Garamond"/>
          <w:i/>
        </w:rPr>
        <w:t>Política Criminal</w:t>
      </w:r>
      <w:r w:rsidRPr="00821CC3">
        <w:rPr>
          <w:rFonts w:ascii="Garamond" w:hAnsi="Garamond"/>
        </w:rPr>
        <w:t>, 5 (2010), 9, pp. 143-206.</w:t>
      </w:r>
      <w:r w:rsidRPr="002C646E">
        <w:rPr>
          <w:rFonts w:ascii="Garamond" w:hAnsi="Garamond"/>
        </w:rPr>
        <w:t xml:space="preserve"> </w:t>
      </w:r>
    </w:p>
    <w:p w:rsidR="00E229F1" w:rsidRDefault="00E229F1" w:rsidP="00F56192">
      <w:pPr>
        <w:ind w:left="142" w:hanging="142"/>
        <w:rPr>
          <w:rFonts w:ascii="Garamond" w:hAnsi="Garamond"/>
        </w:rPr>
      </w:pPr>
      <w:r w:rsidRPr="0030500D">
        <w:rPr>
          <w:rFonts w:ascii="Garamond" w:hAnsi="Garamond"/>
          <w:smallCaps/>
        </w:rPr>
        <w:t>Matus</w:t>
      </w:r>
      <w:r w:rsidRPr="002C646E">
        <w:rPr>
          <w:rFonts w:ascii="Garamond" w:hAnsi="Garamond"/>
        </w:rPr>
        <w:t>, Jean Pierre</w:t>
      </w:r>
      <w:r>
        <w:rPr>
          <w:rFonts w:ascii="Garamond" w:hAnsi="Garamond"/>
        </w:rPr>
        <w:t>,</w:t>
      </w:r>
      <w:r w:rsidRPr="002C646E">
        <w:rPr>
          <w:rFonts w:ascii="Garamond" w:hAnsi="Garamond"/>
        </w:rPr>
        <w:t xml:space="preserve"> </w:t>
      </w:r>
      <w:r w:rsidRPr="00213FC2">
        <w:rPr>
          <w:rFonts w:ascii="Garamond" w:hAnsi="Garamond"/>
          <w:i/>
        </w:rPr>
        <w:t>Por qué citamos a los alemanes y otros apuntes metodológicos</w:t>
      </w:r>
      <w:r w:rsidRPr="002C646E">
        <w:rPr>
          <w:rFonts w:ascii="Garamond" w:hAnsi="Garamond"/>
        </w:rPr>
        <w:t xml:space="preserve">, </w:t>
      </w:r>
      <w:r>
        <w:rPr>
          <w:rFonts w:ascii="Garamond" w:hAnsi="Garamond"/>
        </w:rPr>
        <w:t xml:space="preserve">en </w:t>
      </w:r>
      <w:r w:rsidRPr="002C646E">
        <w:rPr>
          <w:rFonts w:ascii="Garamond" w:hAnsi="Garamond"/>
          <w:i/>
        </w:rPr>
        <w:t>Política Criminal</w:t>
      </w:r>
      <w:r>
        <w:rPr>
          <w:rFonts w:ascii="Garamond" w:hAnsi="Garamond"/>
        </w:rPr>
        <w:t xml:space="preserve">, </w:t>
      </w:r>
      <w:r w:rsidRPr="00213FC2">
        <w:rPr>
          <w:rFonts w:ascii="Garamond" w:hAnsi="Garamond"/>
        </w:rPr>
        <w:t xml:space="preserve">3 </w:t>
      </w:r>
      <w:r w:rsidRPr="002C646E">
        <w:rPr>
          <w:rFonts w:ascii="Garamond" w:hAnsi="Garamond"/>
        </w:rPr>
        <w:t>(2008)</w:t>
      </w:r>
      <w:r>
        <w:rPr>
          <w:rFonts w:ascii="Garamond" w:hAnsi="Garamond"/>
        </w:rPr>
        <w:t xml:space="preserve">, </w:t>
      </w:r>
      <w:r w:rsidRPr="00213FC2">
        <w:rPr>
          <w:rFonts w:ascii="Garamond" w:hAnsi="Garamond"/>
        </w:rPr>
        <w:t>5,</w:t>
      </w:r>
      <w:r w:rsidRPr="002C646E">
        <w:rPr>
          <w:rFonts w:ascii="Garamond" w:hAnsi="Garamond"/>
        </w:rPr>
        <w:t xml:space="preserve"> pp. 1-35.</w:t>
      </w:r>
    </w:p>
    <w:p w:rsidR="00E229F1" w:rsidRDefault="00E229F1" w:rsidP="00F56192">
      <w:pPr>
        <w:ind w:left="142" w:hanging="142"/>
        <w:rPr>
          <w:rFonts w:ascii="Garamond" w:hAnsi="Garamond"/>
        </w:rPr>
      </w:pPr>
      <w:r w:rsidRPr="001D6A6B">
        <w:rPr>
          <w:rFonts w:ascii="Garamond" w:hAnsi="Garamond"/>
          <w:smallCaps/>
        </w:rPr>
        <w:t>Matus</w:t>
      </w:r>
      <w:r w:rsidRPr="001D6A6B">
        <w:rPr>
          <w:rFonts w:ascii="Garamond" w:hAnsi="Garamond"/>
        </w:rPr>
        <w:t xml:space="preserve"> </w:t>
      </w:r>
      <w:r w:rsidRPr="001D6A6B">
        <w:rPr>
          <w:rFonts w:ascii="Garamond" w:hAnsi="Garamond"/>
          <w:smallCaps/>
        </w:rPr>
        <w:t>Acuña</w:t>
      </w:r>
      <w:r w:rsidRPr="00572621">
        <w:rPr>
          <w:rFonts w:ascii="Garamond" w:hAnsi="Garamond"/>
        </w:rPr>
        <w:t xml:space="preserve">, Jean Pierre y </w:t>
      </w:r>
      <w:r w:rsidRPr="00AC004F">
        <w:rPr>
          <w:rFonts w:ascii="Garamond" w:hAnsi="Garamond"/>
          <w:smallCaps/>
        </w:rPr>
        <w:t>Van</w:t>
      </w:r>
      <w:r w:rsidRPr="00572621">
        <w:rPr>
          <w:rFonts w:ascii="Garamond" w:hAnsi="Garamond"/>
        </w:rPr>
        <w:t xml:space="preserve"> </w:t>
      </w:r>
      <w:r w:rsidRPr="00AC004F">
        <w:rPr>
          <w:rFonts w:ascii="Garamond" w:hAnsi="Garamond"/>
          <w:smallCaps/>
        </w:rPr>
        <w:t>Weezel</w:t>
      </w:r>
      <w:r w:rsidRPr="00572621">
        <w:rPr>
          <w:rFonts w:ascii="Garamond" w:hAnsi="Garamond"/>
        </w:rPr>
        <w:t xml:space="preserve">, Alex, </w:t>
      </w:r>
      <w:r w:rsidRPr="00D21877">
        <w:rPr>
          <w:rFonts w:ascii="Garamond" w:hAnsi="Garamond"/>
          <w:i/>
        </w:rPr>
        <w:t>§ 4. De la aplicación de las penas. Artículos 50 a 73</w:t>
      </w:r>
      <w:r>
        <w:rPr>
          <w:rFonts w:ascii="Garamond" w:hAnsi="Garamond"/>
        </w:rPr>
        <w:t>,</w:t>
      </w:r>
      <w:r w:rsidRPr="00572621">
        <w:rPr>
          <w:rFonts w:ascii="Garamond" w:hAnsi="Garamond"/>
        </w:rPr>
        <w:t xml:space="preserve"> en </w:t>
      </w:r>
      <w:r w:rsidRPr="00AC004F">
        <w:rPr>
          <w:rFonts w:ascii="Garamond" w:hAnsi="Garamond"/>
          <w:smallCaps/>
        </w:rPr>
        <w:t>Politoff</w:t>
      </w:r>
      <w:r w:rsidRPr="00572621">
        <w:rPr>
          <w:rFonts w:ascii="Garamond" w:hAnsi="Garamond"/>
        </w:rPr>
        <w:t xml:space="preserve"> </w:t>
      </w:r>
      <w:r w:rsidRPr="00AC004F">
        <w:rPr>
          <w:rFonts w:ascii="Garamond" w:hAnsi="Garamond"/>
          <w:smallCaps/>
        </w:rPr>
        <w:t>Lifschitz</w:t>
      </w:r>
      <w:r w:rsidRPr="00572621">
        <w:rPr>
          <w:rFonts w:ascii="Garamond" w:hAnsi="Garamond"/>
        </w:rPr>
        <w:t xml:space="preserve">, Sergio y </w:t>
      </w:r>
      <w:r w:rsidRPr="00AC004F">
        <w:rPr>
          <w:rFonts w:ascii="Garamond" w:hAnsi="Garamond"/>
          <w:smallCaps/>
        </w:rPr>
        <w:t>Ortiz</w:t>
      </w:r>
      <w:r w:rsidRPr="00572621">
        <w:rPr>
          <w:rFonts w:ascii="Garamond" w:hAnsi="Garamond"/>
        </w:rPr>
        <w:t xml:space="preserve"> </w:t>
      </w:r>
      <w:r w:rsidRPr="00AC004F">
        <w:rPr>
          <w:rFonts w:ascii="Garamond" w:hAnsi="Garamond"/>
          <w:smallCaps/>
        </w:rPr>
        <w:t>Quiroga</w:t>
      </w:r>
      <w:r w:rsidRPr="00572621">
        <w:rPr>
          <w:rFonts w:ascii="Garamond" w:hAnsi="Garamond"/>
        </w:rPr>
        <w:t xml:space="preserve">, Luis (directores), </w:t>
      </w:r>
      <w:r w:rsidRPr="00D21877">
        <w:rPr>
          <w:rFonts w:ascii="Garamond" w:hAnsi="Garamond"/>
          <w:i/>
        </w:rPr>
        <w:t>Texto y comentario del Código Penal chileno</w:t>
      </w:r>
      <w:r w:rsidRPr="00572621">
        <w:rPr>
          <w:rFonts w:ascii="Garamond" w:hAnsi="Garamond"/>
        </w:rPr>
        <w:t xml:space="preserve">, </w:t>
      </w:r>
      <w:r>
        <w:rPr>
          <w:rFonts w:ascii="Garamond" w:hAnsi="Garamond"/>
        </w:rPr>
        <w:t>I:</w:t>
      </w:r>
      <w:r w:rsidRPr="00572621">
        <w:rPr>
          <w:rFonts w:ascii="Garamond" w:hAnsi="Garamond"/>
        </w:rPr>
        <w:t xml:space="preserve"> </w:t>
      </w:r>
      <w:r w:rsidRPr="00D21877">
        <w:rPr>
          <w:rFonts w:ascii="Garamond" w:hAnsi="Garamond"/>
          <w:i/>
        </w:rPr>
        <w:t>Libro primero. Parte general</w:t>
      </w:r>
      <w:r w:rsidRPr="00572621">
        <w:rPr>
          <w:rFonts w:ascii="Garamond" w:hAnsi="Garamond"/>
        </w:rPr>
        <w:t>,</w:t>
      </w:r>
      <w:r>
        <w:rPr>
          <w:rFonts w:ascii="Garamond" w:hAnsi="Garamond"/>
        </w:rPr>
        <w:t xml:space="preserve"> </w:t>
      </w:r>
      <w:r w:rsidRPr="00572621">
        <w:rPr>
          <w:rFonts w:ascii="Garamond" w:hAnsi="Garamond"/>
        </w:rPr>
        <w:t>(</w:t>
      </w:r>
      <w:r w:rsidRPr="001D6A6B">
        <w:rPr>
          <w:rFonts w:ascii="Garamond" w:hAnsi="Garamond"/>
        </w:rPr>
        <w:t>reimp.</w:t>
      </w:r>
      <w:r>
        <w:rPr>
          <w:rFonts w:ascii="Garamond" w:hAnsi="Garamond"/>
        </w:rPr>
        <w:t xml:space="preserve"> 2016, </w:t>
      </w:r>
      <w:r w:rsidRPr="00572621">
        <w:rPr>
          <w:rFonts w:ascii="Garamond" w:hAnsi="Garamond"/>
        </w:rPr>
        <w:t xml:space="preserve">Santiago, </w:t>
      </w:r>
      <w:r>
        <w:rPr>
          <w:rFonts w:ascii="Garamond" w:hAnsi="Garamond"/>
        </w:rPr>
        <w:t xml:space="preserve">Editorial Jurídica de Chile, </w:t>
      </w:r>
      <w:r w:rsidRPr="00572621">
        <w:rPr>
          <w:rFonts w:ascii="Garamond" w:hAnsi="Garamond"/>
        </w:rPr>
        <w:t>2002)</w:t>
      </w:r>
      <w:r>
        <w:rPr>
          <w:rFonts w:ascii="Garamond" w:hAnsi="Garamond"/>
        </w:rPr>
        <w:t xml:space="preserve">, </w:t>
      </w:r>
      <w:r w:rsidRPr="002C646E">
        <w:rPr>
          <w:rFonts w:ascii="Garamond" w:hAnsi="Garamond"/>
        </w:rPr>
        <w:t xml:space="preserve">pp. 323-382. </w:t>
      </w:r>
    </w:p>
    <w:p w:rsidR="00E229F1" w:rsidRPr="009929AB" w:rsidRDefault="00E229F1" w:rsidP="00F56192">
      <w:pPr>
        <w:ind w:left="142" w:hanging="142"/>
        <w:rPr>
          <w:rFonts w:ascii="Garamond" w:hAnsi="Garamond"/>
        </w:rPr>
      </w:pPr>
      <w:r w:rsidRPr="00197F1A">
        <w:rPr>
          <w:rFonts w:ascii="Garamond" w:hAnsi="Garamond"/>
          <w:smallCaps/>
        </w:rPr>
        <w:t>Mommsen</w:t>
      </w:r>
      <w:r w:rsidRPr="00197F1A">
        <w:rPr>
          <w:rFonts w:ascii="Garamond" w:hAnsi="Garamond"/>
        </w:rPr>
        <w:t>, Theodor</w:t>
      </w:r>
      <w:r>
        <w:rPr>
          <w:rFonts w:ascii="Garamond" w:hAnsi="Garamond"/>
        </w:rPr>
        <w:t xml:space="preserve">, </w:t>
      </w:r>
      <w:r w:rsidRPr="00F915B5">
        <w:rPr>
          <w:rFonts w:ascii="Garamond" w:hAnsi="Garamond"/>
          <w:i/>
        </w:rPr>
        <w:t>Derecho Penal Romano</w:t>
      </w:r>
      <w:r>
        <w:rPr>
          <w:rFonts w:ascii="Garamond" w:hAnsi="Garamond"/>
        </w:rPr>
        <w:t xml:space="preserve"> </w:t>
      </w:r>
      <w:r w:rsidRPr="00541E27">
        <w:rPr>
          <w:rFonts w:ascii="Garamond" w:hAnsi="Garamond"/>
          <w:lang w:val="es-CL"/>
        </w:rPr>
        <w:t xml:space="preserve">(trad. </w:t>
      </w:r>
      <w:r>
        <w:rPr>
          <w:rFonts w:ascii="Garamond" w:hAnsi="Garamond"/>
          <w:lang w:val="es-CL"/>
        </w:rPr>
        <w:t>cast.</w:t>
      </w:r>
      <w:r w:rsidRPr="00541E27">
        <w:rPr>
          <w:rFonts w:ascii="Garamond" w:hAnsi="Garamond"/>
          <w:lang w:val="es-CL"/>
        </w:rPr>
        <w:t xml:space="preserve">, </w:t>
      </w:r>
      <w:r>
        <w:rPr>
          <w:rFonts w:ascii="Garamond" w:hAnsi="Garamond"/>
          <w:lang w:val="es-CL"/>
        </w:rPr>
        <w:t>Pamplona</w:t>
      </w:r>
      <w:r w:rsidRPr="00541E27">
        <w:rPr>
          <w:rFonts w:ascii="Garamond" w:hAnsi="Garamond"/>
          <w:lang w:val="es-CL"/>
        </w:rPr>
        <w:t>,</w:t>
      </w:r>
      <w:r w:rsidRPr="00B138FC">
        <w:rPr>
          <w:rFonts w:ascii="Garamond" w:hAnsi="Garamond"/>
          <w:lang w:val="es-CL"/>
        </w:rPr>
        <w:t xml:space="preserve"> </w:t>
      </w:r>
      <w:r>
        <w:rPr>
          <w:rFonts w:ascii="Garamond" w:hAnsi="Garamond"/>
          <w:lang w:val="es-CL"/>
        </w:rPr>
        <w:t xml:space="preserve">Analecta Editorial, </w:t>
      </w:r>
      <w:r w:rsidRPr="00B138FC">
        <w:rPr>
          <w:rFonts w:ascii="Garamond" w:hAnsi="Garamond"/>
          <w:lang w:val="es-CL"/>
        </w:rPr>
        <w:t>19</w:t>
      </w:r>
      <w:r>
        <w:rPr>
          <w:rFonts w:ascii="Garamond" w:hAnsi="Garamond"/>
          <w:lang w:val="es-CL"/>
        </w:rPr>
        <w:t>99</w:t>
      </w:r>
      <w:r w:rsidRPr="00B138FC">
        <w:rPr>
          <w:rFonts w:ascii="Garamond" w:hAnsi="Garamond"/>
          <w:lang w:val="es-CL"/>
        </w:rPr>
        <w:t>)</w:t>
      </w:r>
      <w:r>
        <w:rPr>
          <w:rFonts w:ascii="Garamond" w:hAnsi="Garamond"/>
        </w:rPr>
        <w:t>,</w:t>
      </w:r>
      <w:r w:rsidRPr="00572621">
        <w:rPr>
          <w:rFonts w:ascii="Garamond" w:hAnsi="Garamond"/>
          <w:lang w:val="es-CL"/>
        </w:rPr>
        <w:t xml:space="preserve"> I</w:t>
      </w:r>
      <w:r w:rsidRPr="009929AB">
        <w:rPr>
          <w:rFonts w:ascii="Garamond" w:hAnsi="Garamond"/>
        </w:rPr>
        <w:t xml:space="preserve">. </w:t>
      </w:r>
    </w:p>
    <w:p w:rsidR="00E229F1" w:rsidRDefault="00E229F1" w:rsidP="00F56192">
      <w:pPr>
        <w:ind w:left="142" w:hanging="142"/>
        <w:rPr>
          <w:rFonts w:ascii="Garamond" w:hAnsi="Garamond"/>
        </w:rPr>
      </w:pPr>
      <w:r w:rsidRPr="00197F1A">
        <w:rPr>
          <w:rFonts w:ascii="Garamond" w:hAnsi="Garamond"/>
          <w:smallCaps/>
          <w:lang w:val="es-CL"/>
        </w:rPr>
        <w:t>Mommsen</w:t>
      </w:r>
      <w:r w:rsidRPr="00197F1A">
        <w:rPr>
          <w:rFonts w:ascii="Garamond" w:hAnsi="Garamond"/>
          <w:lang w:val="es-CL"/>
        </w:rPr>
        <w:t>, Theodor</w:t>
      </w:r>
      <w:r w:rsidRPr="00541E27">
        <w:rPr>
          <w:rFonts w:ascii="Garamond" w:hAnsi="Garamond"/>
          <w:lang w:val="es-CL"/>
        </w:rPr>
        <w:t xml:space="preserve">, </w:t>
      </w:r>
      <w:r w:rsidRPr="000A38EF">
        <w:rPr>
          <w:rFonts w:ascii="Garamond" w:hAnsi="Garamond"/>
          <w:i/>
          <w:lang w:val="es-CL"/>
        </w:rPr>
        <w:t>Derecho Penal Romano</w:t>
      </w:r>
      <w:r>
        <w:rPr>
          <w:rFonts w:ascii="Garamond" w:hAnsi="Garamond"/>
          <w:lang w:val="es-CL"/>
        </w:rPr>
        <w:t xml:space="preserve"> </w:t>
      </w:r>
      <w:r w:rsidRPr="00541E27">
        <w:rPr>
          <w:rFonts w:ascii="Garamond" w:hAnsi="Garamond"/>
          <w:lang w:val="es-CL"/>
        </w:rPr>
        <w:t xml:space="preserve">(trad. </w:t>
      </w:r>
      <w:r w:rsidR="001F4643">
        <w:rPr>
          <w:rFonts w:ascii="Garamond" w:hAnsi="Garamond"/>
          <w:lang w:val="es-CL"/>
        </w:rPr>
        <w:t>cast.</w:t>
      </w:r>
      <w:r w:rsidRPr="00541E27">
        <w:rPr>
          <w:rFonts w:ascii="Garamond" w:hAnsi="Garamond"/>
          <w:lang w:val="es-CL"/>
        </w:rPr>
        <w:t xml:space="preserve">, </w:t>
      </w:r>
      <w:r>
        <w:rPr>
          <w:rFonts w:ascii="Garamond" w:hAnsi="Garamond"/>
          <w:lang w:val="es-CL"/>
        </w:rPr>
        <w:t>Pamplona</w:t>
      </w:r>
      <w:r w:rsidRPr="00541E27">
        <w:rPr>
          <w:rFonts w:ascii="Garamond" w:hAnsi="Garamond"/>
          <w:lang w:val="es-CL"/>
        </w:rPr>
        <w:t>,</w:t>
      </w:r>
      <w:r w:rsidRPr="00B138FC">
        <w:rPr>
          <w:rFonts w:ascii="Garamond" w:hAnsi="Garamond"/>
          <w:lang w:val="es-CL"/>
        </w:rPr>
        <w:t xml:space="preserve"> </w:t>
      </w:r>
      <w:r>
        <w:rPr>
          <w:rFonts w:ascii="Garamond" w:hAnsi="Garamond"/>
          <w:lang w:val="es-CL"/>
        </w:rPr>
        <w:t xml:space="preserve">Analecta Editorial, </w:t>
      </w:r>
      <w:r w:rsidRPr="00B138FC">
        <w:rPr>
          <w:rFonts w:ascii="Garamond" w:hAnsi="Garamond"/>
          <w:lang w:val="es-CL"/>
        </w:rPr>
        <w:t>19</w:t>
      </w:r>
      <w:r>
        <w:rPr>
          <w:rFonts w:ascii="Garamond" w:hAnsi="Garamond"/>
          <w:lang w:val="es-CL"/>
        </w:rPr>
        <w:t>99</w:t>
      </w:r>
      <w:r w:rsidRPr="00B138FC">
        <w:rPr>
          <w:rFonts w:ascii="Garamond" w:hAnsi="Garamond"/>
          <w:lang w:val="es-CL"/>
        </w:rPr>
        <w:t xml:space="preserve">), </w:t>
      </w:r>
      <w:r w:rsidRPr="00572621">
        <w:rPr>
          <w:rFonts w:ascii="Garamond" w:hAnsi="Garamond"/>
          <w:lang w:val="es-CL"/>
        </w:rPr>
        <w:t>II</w:t>
      </w:r>
      <w:r w:rsidRPr="009929AB">
        <w:rPr>
          <w:rFonts w:ascii="Garamond" w:hAnsi="Garamond"/>
        </w:rPr>
        <w:t>.</w:t>
      </w:r>
    </w:p>
    <w:p w:rsidR="00E229F1" w:rsidRPr="000C3C7F" w:rsidRDefault="00E229F1" w:rsidP="00F56192">
      <w:pPr>
        <w:ind w:left="142" w:hanging="142"/>
        <w:rPr>
          <w:rFonts w:ascii="Garamond" w:hAnsi="Garamond"/>
          <w:lang w:val="it-IT"/>
        </w:rPr>
      </w:pPr>
      <w:r w:rsidRPr="00E52360">
        <w:rPr>
          <w:rFonts w:ascii="Garamond" w:hAnsi="Garamond"/>
          <w:smallCaps/>
          <w:lang w:val="it-IT"/>
        </w:rPr>
        <w:t>Nicolini</w:t>
      </w:r>
      <w:r w:rsidRPr="00E52360">
        <w:rPr>
          <w:rFonts w:ascii="Garamond" w:hAnsi="Garamond"/>
          <w:lang w:val="it-IT"/>
        </w:rPr>
        <w:t xml:space="preserve">, Niccola, </w:t>
      </w:r>
      <w:r w:rsidRPr="00E52360">
        <w:rPr>
          <w:rFonts w:ascii="Garamond" w:hAnsi="Garamond"/>
          <w:i/>
          <w:lang w:val="it-IT"/>
        </w:rPr>
        <w:t>Quistioni di diritto trattate nell conclusioni, ne’ discorsi ed in altri scritti legali</w:t>
      </w:r>
      <w:r w:rsidRPr="00E52360">
        <w:rPr>
          <w:rFonts w:ascii="Garamond" w:hAnsi="Garamond"/>
          <w:lang w:val="it-IT"/>
        </w:rPr>
        <w:t xml:space="preserve"> (Napoli, Tipografia Prete Largo Avelino, 1869</w:t>
      </w:r>
      <w:r w:rsidRPr="000C3C7F">
        <w:rPr>
          <w:rFonts w:ascii="Garamond" w:hAnsi="Garamond"/>
          <w:lang w:val="it-IT"/>
        </w:rPr>
        <w:t xml:space="preserve">), I, disponible en </w:t>
      </w:r>
      <w:r w:rsidR="00BC1810" w:rsidRPr="00BC1810">
        <w:rPr>
          <w:rFonts w:ascii="Garamond" w:hAnsi="Garamond"/>
          <w:lang w:val="it-IT"/>
        </w:rPr>
        <w:t xml:space="preserve">https://bit.ly/2YRABeX </w:t>
      </w:r>
      <w:r w:rsidRPr="000C3C7F">
        <w:rPr>
          <w:rFonts w:ascii="Garamond" w:hAnsi="Garamond"/>
          <w:lang w:val="it-IT"/>
        </w:rPr>
        <w:t>[última visita 2</w:t>
      </w:r>
      <w:r w:rsidR="00C4486B">
        <w:rPr>
          <w:rFonts w:ascii="Garamond" w:hAnsi="Garamond"/>
          <w:lang w:val="it-IT"/>
        </w:rPr>
        <w:t>3</w:t>
      </w:r>
      <w:r w:rsidRPr="000C3C7F">
        <w:rPr>
          <w:rFonts w:ascii="Garamond" w:hAnsi="Garamond"/>
          <w:lang w:val="it-IT"/>
        </w:rPr>
        <w:t xml:space="preserve">/5/2019]. </w:t>
      </w:r>
    </w:p>
    <w:p w:rsidR="00E229F1" w:rsidRPr="002C646E" w:rsidRDefault="00E229F1" w:rsidP="00F56192">
      <w:pPr>
        <w:ind w:left="142" w:hanging="142"/>
        <w:rPr>
          <w:rFonts w:ascii="Garamond" w:hAnsi="Garamond"/>
        </w:rPr>
      </w:pPr>
      <w:r w:rsidRPr="00F8490C">
        <w:rPr>
          <w:rFonts w:ascii="Garamond" w:hAnsi="Garamond"/>
          <w:smallCaps/>
        </w:rPr>
        <w:t>Novoa Monreal</w:t>
      </w:r>
      <w:r w:rsidRPr="009363BD">
        <w:rPr>
          <w:rFonts w:ascii="Garamond" w:hAnsi="Garamond"/>
        </w:rPr>
        <w:t xml:space="preserve">, Eduardo, </w:t>
      </w:r>
      <w:r w:rsidRPr="0070405A">
        <w:rPr>
          <w:rFonts w:ascii="Garamond" w:hAnsi="Garamond"/>
          <w:i/>
        </w:rPr>
        <w:t>Curso de Derecho Penal chileno</w:t>
      </w:r>
      <w:r>
        <w:rPr>
          <w:rFonts w:ascii="Garamond" w:hAnsi="Garamond"/>
        </w:rPr>
        <w:t>, (Santiago, Editorial Jurídica de Chile, 1960), I</w:t>
      </w:r>
      <w:r w:rsidRPr="002C646E">
        <w:rPr>
          <w:rFonts w:ascii="Garamond" w:hAnsi="Garamond"/>
        </w:rPr>
        <w:t>.</w:t>
      </w:r>
    </w:p>
    <w:p w:rsidR="00E229F1" w:rsidRDefault="00E229F1" w:rsidP="00F56192">
      <w:pPr>
        <w:ind w:left="142" w:hanging="142"/>
        <w:rPr>
          <w:rFonts w:ascii="Garamond" w:hAnsi="Garamond"/>
        </w:rPr>
      </w:pPr>
      <w:r w:rsidRPr="00F8490C">
        <w:rPr>
          <w:rFonts w:ascii="Garamond" w:hAnsi="Garamond"/>
          <w:smallCaps/>
        </w:rPr>
        <w:t>Novoa</w:t>
      </w:r>
      <w:r w:rsidRPr="00F8490C">
        <w:rPr>
          <w:rFonts w:ascii="Garamond" w:hAnsi="Garamond"/>
        </w:rPr>
        <w:t xml:space="preserve"> </w:t>
      </w:r>
      <w:r w:rsidRPr="00F8490C">
        <w:rPr>
          <w:rFonts w:ascii="Garamond" w:hAnsi="Garamond"/>
          <w:smallCaps/>
        </w:rPr>
        <w:t>Monreal</w:t>
      </w:r>
      <w:r w:rsidRPr="00572621">
        <w:rPr>
          <w:rFonts w:ascii="Garamond" w:hAnsi="Garamond"/>
        </w:rPr>
        <w:t>, Eduardo,</w:t>
      </w:r>
      <w:r w:rsidRPr="00572621">
        <w:rPr>
          <w:rFonts w:ascii="Garamond" w:hAnsi="Garamond"/>
          <w:i/>
        </w:rPr>
        <w:t xml:space="preserve"> </w:t>
      </w:r>
      <w:r w:rsidRPr="00E92C27">
        <w:rPr>
          <w:rFonts w:ascii="Garamond" w:hAnsi="Garamond"/>
          <w:i/>
        </w:rPr>
        <w:t>Curso de Derecho Penal chileno</w:t>
      </w:r>
      <w:r w:rsidRPr="00572621">
        <w:rPr>
          <w:rFonts w:ascii="Garamond" w:hAnsi="Garamond"/>
        </w:rPr>
        <w:t xml:space="preserve"> (Santiago, </w:t>
      </w:r>
      <w:r>
        <w:rPr>
          <w:rFonts w:ascii="Garamond" w:hAnsi="Garamond"/>
        </w:rPr>
        <w:t xml:space="preserve">Editorial Jurídica de Chile, </w:t>
      </w:r>
      <w:r w:rsidRPr="00572621">
        <w:rPr>
          <w:rFonts w:ascii="Garamond" w:hAnsi="Garamond"/>
        </w:rPr>
        <w:t>1966), II</w:t>
      </w:r>
      <w:r w:rsidRPr="002C646E">
        <w:rPr>
          <w:rFonts w:ascii="Garamond" w:hAnsi="Garamond"/>
        </w:rPr>
        <w:t xml:space="preserve">. </w:t>
      </w:r>
    </w:p>
    <w:p w:rsidR="00E229F1" w:rsidRPr="002C646E" w:rsidRDefault="00E229F1" w:rsidP="00F56192">
      <w:pPr>
        <w:ind w:left="142" w:hanging="142"/>
        <w:rPr>
          <w:rFonts w:ascii="Garamond" w:hAnsi="Garamond"/>
        </w:rPr>
      </w:pPr>
      <w:r w:rsidRPr="00F8490C">
        <w:rPr>
          <w:rFonts w:ascii="Garamond" w:hAnsi="Garamond"/>
          <w:smallCaps/>
        </w:rPr>
        <w:t>Oliver Calderón</w:t>
      </w:r>
      <w:r w:rsidRPr="002C646E">
        <w:rPr>
          <w:rFonts w:ascii="Garamond" w:hAnsi="Garamond"/>
        </w:rPr>
        <w:t>, Guillermo</w:t>
      </w:r>
      <w:r>
        <w:rPr>
          <w:rFonts w:ascii="Garamond" w:hAnsi="Garamond"/>
        </w:rPr>
        <w:t>,</w:t>
      </w:r>
      <w:r w:rsidRPr="002C646E">
        <w:rPr>
          <w:rFonts w:ascii="Garamond" w:hAnsi="Garamond"/>
        </w:rPr>
        <w:t xml:space="preserve"> </w:t>
      </w:r>
      <w:r w:rsidRPr="00E01306">
        <w:rPr>
          <w:rFonts w:ascii="Garamond" w:hAnsi="Garamond"/>
          <w:i/>
        </w:rPr>
        <w:t>Delitos contra la propiedad</w:t>
      </w:r>
      <w:r w:rsidRPr="002C646E">
        <w:rPr>
          <w:rFonts w:ascii="Garamond" w:hAnsi="Garamond"/>
        </w:rPr>
        <w:t xml:space="preserve"> (Santiago</w:t>
      </w:r>
      <w:r>
        <w:rPr>
          <w:rFonts w:ascii="Garamond" w:hAnsi="Garamond"/>
        </w:rPr>
        <w:t xml:space="preserve">, Legal Publishing, Thomson Reuters, </w:t>
      </w:r>
      <w:r w:rsidRPr="002C646E">
        <w:rPr>
          <w:rFonts w:ascii="Garamond" w:hAnsi="Garamond"/>
        </w:rPr>
        <w:t xml:space="preserve">2013).  </w:t>
      </w:r>
    </w:p>
    <w:p w:rsidR="00E229F1" w:rsidRPr="002C646E" w:rsidRDefault="00E229F1" w:rsidP="00F56192">
      <w:pPr>
        <w:ind w:left="142" w:hanging="142"/>
        <w:rPr>
          <w:rFonts w:ascii="Garamond" w:hAnsi="Garamond"/>
        </w:rPr>
      </w:pPr>
      <w:r w:rsidRPr="00F8490C">
        <w:rPr>
          <w:rFonts w:ascii="Garamond" w:hAnsi="Garamond"/>
          <w:smallCaps/>
        </w:rPr>
        <w:t>Ossandón Widow</w:t>
      </w:r>
      <w:r w:rsidRPr="002C646E">
        <w:rPr>
          <w:rFonts w:ascii="Garamond" w:hAnsi="Garamond"/>
        </w:rPr>
        <w:t>, María Magdalena</w:t>
      </w:r>
      <w:r>
        <w:rPr>
          <w:rFonts w:ascii="Garamond" w:hAnsi="Garamond"/>
        </w:rPr>
        <w:t xml:space="preserve">, </w:t>
      </w:r>
      <w:r w:rsidRPr="00470018">
        <w:rPr>
          <w:rFonts w:ascii="Garamond" w:hAnsi="Garamond"/>
          <w:i/>
        </w:rPr>
        <w:t>Sobre la calidad de empleado público en los delitos funcionarios y al punibilidad de quienes no la poseen</w:t>
      </w:r>
      <w:r w:rsidRPr="002C646E">
        <w:rPr>
          <w:rFonts w:ascii="Garamond" w:hAnsi="Garamond"/>
        </w:rPr>
        <w:t>,</w:t>
      </w:r>
      <w:r>
        <w:rPr>
          <w:rFonts w:ascii="Garamond" w:hAnsi="Garamond"/>
        </w:rPr>
        <w:t xml:space="preserve"> en</w:t>
      </w:r>
      <w:r w:rsidRPr="002C646E">
        <w:rPr>
          <w:rFonts w:ascii="Garamond" w:hAnsi="Garamond"/>
        </w:rPr>
        <w:t xml:space="preserve"> </w:t>
      </w:r>
      <w:r w:rsidRPr="002C646E">
        <w:rPr>
          <w:rFonts w:ascii="Garamond" w:hAnsi="Garamond"/>
          <w:i/>
        </w:rPr>
        <w:t>Doctrina y jurisprudencia Penal</w:t>
      </w:r>
      <w:r>
        <w:rPr>
          <w:rFonts w:ascii="Garamond" w:hAnsi="Garamond"/>
        </w:rPr>
        <w:t>,</w:t>
      </w:r>
      <w:r w:rsidRPr="002C646E">
        <w:rPr>
          <w:rFonts w:ascii="Garamond" w:hAnsi="Garamond"/>
        </w:rPr>
        <w:t xml:space="preserve"> </w:t>
      </w:r>
      <w:r w:rsidRPr="00470018">
        <w:rPr>
          <w:rFonts w:ascii="Garamond" w:hAnsi="Garamond"/>
        </w:rPr>
        <w:t>8</w:t>
      </w:r>
      <w:r>
        <w:rPr>
          <w:rFonts w:ascii="Garamond" w:hAnsi="Garamond"/>
        </w:rPr>
        <w:t xml:space="preserve"> </w:t>
      </w:r>
      <w:r w:rsidRPr="002C646E">
        <w:rPr>
          <w:rFonts w:ascii="Garamond" w:hAnsi="Garamond"/>
        </w:rPr>
        <w:t>(2012)</w:t>
      </w:r>
      <w:r>
        <w:rPr>
          <w:rFonts w:ascii="Garamond" w:hAnsi="Garamond"/>
        </w:rPr>
        <w:t xml:space="preserve">, </w:t>
      </w:r>
      <w:r w:rsidRPr="002C646E">
        <w:rPr>
          <w:rFonts w:ascii="Garamond" w:hAnsi="Garamond"/>
        </w:rPr>
        <w:t>pp. 45-82.</w:t>
      </w:r>
    </w:p>
    <w:p w:rsidR="00E229F1" w:rsidRPr="002C646E" w:rsidRDefault="00E229F1" w:rsidP="00F56192">
      <w:pPr>
        <w:ind w:left="142" w:hanging="142"/>
        <w:rPr>
          <w:rFonts w:ascii="Garamond" w:hAnsi="Garamond"/>
        </w:rPr>
      </w:pPr>
      <w:r w:rsidRPr="009B21AB">
        <w:rPr>
          <w:rFonts w:ascii="Garamond" w:hAnsi="Garamond"/>
          <w:smallCaps/>
        </w:rPr>
        <w:t>Pacheco</w:t>
      </w:r>
      <w:r w:rsidRPr="009B21AB">
        <w:rPr>
          <w:rFonts w:ascii="Garamond" w:hAnsi="Garamond"/>
        </w:rPr>
        <w:t xml:space="preserve">, Joaquín Francisco, </w:t>
      </w:r>
      <w:r w:rsidRPr="009B21AB">
        <w:rPr>
          <w:rFonts w:ascii="Garamond" w:hAnsi="Garamond"/>
          <w:i/>
        </w:rPr>
        <w:t>El Código Penal concordado y comentado</w:t>
      </w:r>
      <w:r w:rsidRPr="009B21AB">
        <w:rPr>
          <w:rFonts w:ascii="Garamond" w:hAnsi="Garamond"/>
        </w:rPr>
        <w:t>, (1848, 5ª edición, Madrid,</w:t>
      </w:r>
      <w:r w:rsidRPr="002C646E">
        <w:rPr>
          <w:rFonts w:ascii="Garamond" w:hAnsi="Garamond"/>
        </w:rPr>
        <w:t xml:space="preserve"> </w:t>
      </w:r>
      <w:r>
        <w:rPr>
          <w:rFonts w:ascii="Garamond" w:hAnsi="Garamond"/>
        </w:rPr>
        <w:t xml:space="preserve">Imprenta y Fundición de Manuel Tello, </w:t>
      </w:r>
      <w:r w:rsidRPr="002C646E">
        <w:rPr>
          <w:rFonts w:ascii="Garamond" w:hAnsi="Garamond"/>
        </w:rPr>
        <w:t>1881)</w:t>
      </w:r>
      <w:r>
        <w:rPr>
          <w:rFonts w:ascii="Garamond" w:hAnsi="Garamond"/>
        </w:rPr>
        <w:t xml:space="preserve">, </w:t>
      </w:r>
      <w:r w:rsidRPr="002C646E">
        <w:rPr>
          <w:rFonts w:ascii="Garamond" w:hAnsi="Garamond"/>
        </w:rPr>
        <w:t>I</w:t>
      </w:r>
      <w:r>
        <w:rPr>
          <w:rFonts w:ascii="Garamond" w:hAnsi="Garamond"/>
        </w:rPr>
        <w:t xml:space="preserve">, disponible en </w:t>
      </w:r>
      <w:r w:rsidR="00BC1810" w:rsidRPr="00BC1810">
        <w:rPr>
          <w:rFonts w:ascii="Garamond" w:hAnsi="Garamond"/>
        </w:rPr>
        <w:t xml:space="preserve">https://bit.ly/2X2BzV3 </w:t>
      </w:r>
      <w:r>
        <w:rPr>
          <w:rFonts w:ascii="Garamond" w:hAnsi="Garamond"/>
        </w:rPr>
        <w:t>[última visita el 2</w:t>
      </w:r>
      <w:r w:rsidR="00C4486B">
        <w:rPr>
          <w:rFonts w:ascii="Garamond" w:hAnsi="Garamond"/>
        </w:rPr>
        <w:t>3</w:t>
      </w:r>
      <w:r>
        <w:rPr>
          <w:rFonts w:ascii="Garamond" w:hAnsi="Garamond"/>
        </w:rPr>
        <w:t xml:space="preserve">/5/2019]. </w:t>
      </w:r>
      <w:r w:rsidRPr="002C646E">
        <w:rPr>
          <w:rFonts w:ascii="Garamond" w:hAnsi="Garamond"/>
        </w:rPr>
        <w:t xml:space="preserve"> </w:t>
      </w:r>
    </w:p>
    <w:p w:rsidR="00E229F1" w:rsidRPr="002C646E" w:rsidRDefault="00E229F1" w:rsidP="00F56192">
      <w:pPr>
        <w:ind w:left="142" w:hanging="142"/>
        <w:rPr>
          <w:rFonts w:ascii="Garamond" w:hAnsi="Garamond"/>
        </w:rPr>
      </w:pPr>
      <w:r w:rsidRPr="00F8490C">
        <w:rPr>
          <w:rFonts w:ascii="Garamond" w:hAnsi="Garamond"/>
          <w:smallCaps/>
        </w:rPr>
        <w:t>Peña Wassaf</w:t>
      </w:r>
      <w:r w:rsidRPr="002C646E">
        <w:rPr>
          <w:rFonts w:ascii="Garamond" w:hAnsi="Garamond"/>
        </w:rPr>
        <w:t>, Silvia</w:t>
      </w:r>
      <w:r>
        <w:rPr>
          <w:rFonts w:ascii="Garamond" w:hAnsi="Garamond"/>
        </w:rPr>
        <w:t>,</w:t>
      </w:r>
      <w:r w:rsidRPr="002C646E">
        <w:rPr>
          <w:rFonts w:ascii="Garamond" w:hAnsi="Garamond"/>
        </w:rPr>
        <w:t xml:space="preserve"> </w:t>
      </w:r>
      <w:r w:rsidRPr="00C6408D">
        <w:rPr>
          <w:rFonts w:ascii="Garamond" w:hAnsi="Garamond"/>
          <w:i/>
        </w:rPr>
        <w:t>Las raíces histórico-culturales del Derecho Penal chileno</w:t>
      </w:r>
      <w:r w:rsidRPr="002C646E">
        <w:rPr>
          <w:rFonts w:ascii="Garamond" w:hAnsi="Garamond"/>
        </w:rPr>
        <w:t xml:space="preserve">, </w:t>
      </w:r>
      <w:r>
        <w:rPr>
          <w:rFonts w:ascii="Garamond" w:hAnsi="Garamond"/>
        </w:rPr>
        <w:t xml:space="preserve">en </w:t>
      </w:r>
      <w:r w:rsidRPr="002C646E">
        <w:rPr>
          <w:rFonts w:ascii="Garamond" w:hAnsi="Garamond"/>
          <w:i/>
        </w:rPr>
        <w:t>REHJ</w:t>
      </w:r>
      <w:r>
        <w:rPr>
          <w:rFonts w:ascii="Garamond" w:hAnsi="Garamond"/>
        </w:rPr>
        <w:t xml:space="preserve">, </w:t>
      </w:r>
      <w:r w:rsidRPr="00C6408D">
        <w:rPr>
          <w:rFonts w:ascii="Garamond" w:hAnsi="Garamond"/>
        </w:rPr>
        <w:t>7</w:t>
      </w:r>
      <w:r>
        <w:rPr>
          <w:rFonts w:ascii="Garamond" w:hAnsi="Garamond"/>
        </w:rPr>
        <w:t xml:space="preserve"> </w:t>
      </w:r>
      <w:r w:rsidRPr="002C646E">
        <w:rPr>
          <w:rFonts w:ascii="Garamond" w:hAnsi="Garamond"/>
        </w:rPr>
        <w:t>(1982)</w:t>
      </w:r>
      <w:r>
        <w:rPr>
          <w:rFonts w:ascii="Garamond" w:hAnsi="Garamond"/>
        </w:rPr>
        <w:t xml:space="preserve">, </w:t>
      </w:r>
      <w:r w:rsidRPr="002C646E">
        <w:rPr>
          <w:rFonts w:ascii="Garamond" w:hAnsi="Garamond"/>
        </w:rPr>
        <w:t>pp. 289-314.</w:t>
      </w:r>
    </w:p>
    <w:p w:rsidR="00E229F1" w:rsidRPr="002C646E" w:rsidRDefault="00E229F1" w:rsidP="00F56192">
      <w:pPr>
        <w:ind w:left="142" w:hanging="142"/>
        <w:rPr>
          <w:rFonts w:ascii="Garamond" w:hAnsi="Garamond"/>
        </w:rPr>
      </w:pPr>
      <w:r w:rsidRPr="00F8490C">
        <w:rPr>
          <w:rFonts w:ascii="Garamond" w:hAnsi="Garamond"/>
          <w:smallCaps/>
        </w:rPr>
        <w:t>Pessina</w:t>
      </w:r>
      <w:r w:rsidRPr="00F8490C">
        <w:rPr>
          <w:rFonts w:ascii="Garamond" w:hAnsi="Garamond"/>
        </w:rPr>
        <w:t>, Enrique</w:t>
      </w:r>
      <w:r>
        <w:rPr>
          <w:rFonts w:ascii="Garamond" w:hAnsi="Garamond"/>
        </w:rPr>
        <w:t>,</w:t>
      </w:r>
      <w:r w:rsidRPr="002C646E">
        <w:rPr>
          <w:rFonts w:ascii="Garamond" w:hAnsi="Garamond"/>
        </w:rPr>
        <w:t xml:space="preserve"> </w:t>
      </w:r>
      <w:r w:rsidRPr="008E095B">
        <w:rPr>
          <w:rFonts w:ascii="Garamond" w:hAnsi="Garamond"/>
          <w:i/>
        </w:rPr>
        <w:t>Elementos de Derecho Penal</w:t>
      </w:r>
      <w:r w:rsidRPr="002C646E">
        <w:rPr>
          <w:rFonts w:ascii="Garamond" w:hAnsi="Garamond"/>
        </w:rPr>
        <w:t xml:space="preserve"> (trad</w:t>
      </w:r>
      <w:r>
        <w:rPr>
          <w:rFonts w:ascii="Garamond" w:hAnsi="Garamond"/>
        </w:rPr>
        <w:t>. cast.</w:t>
      </w:r>
      <w:r w:rsidRPr="002C646E">
        <w:rPr>
          <w:rFonts w:ascii="Garamond" w:hAnsi="Garamond"/>
        </w:rPr>
        <w:t xml:space="preserve">, </w:t>
      </w:r>
      <w:r>
        <w:rPr>
          <w:rFonts w:ascii="Garamond" w:hAnsi="Garamond"/>
        </w:rPr>
        <w:t xml:space="preserve">4ª edición, </w:t>
      </w:r>
      <w:r w:rsidRPr="002C646E">
        <w:rPr>
          <w:rFonts w:ascii="Garamond" w:hAnsi="Garamond"/>
        </w:rPr>
        <w:t xml:space="preserve">Madrid, </w:t>
      </w:r>
      <w:r>
        <w:rPr>
          <w:rFonts w:ascii="Garamond" w:hAnsi="Garamond"/>
        </w:rPr>
        <w:t xml:space="preserve">Editorial Reus, </w:t>
      </w:r>
      <w:r w:rsidRPr="002C646E">
        <w:rPr>
          <w:rFonts w:ascii="Garamond" w:hAnsi="Garamond"/>
        </w:rPr>
        <w:t xml:space="preserve">1936). </w:t>
      </w:r>
    </w:p>
    <w:p w:rsidR="00E229F1" w:rsidRPr="000C3C7F" w:rsidRDefault="00E229F1" w:rsidP="00F56192">
      <w:pPr>
        <w:ind w:left="142" w:hanging="142"/>
        <w:rPr>
          <w:rFonts w:ascii="Garamond" w:hAnsi="Garamond"/>
          <w:lang w:val="it-IT"/>
        </w:rPr>
      </w:pPr>
      <w:r w:rsidRPr="00E52360">
        <w:rPr>
          <w:rFonts w:ascii="Garamond" w:hAnsi="Garamond"/>
          <w:smallCaps/>
          <w:lang w:val="it-IT"/>
        </w:rPr>
        <w:t>Pessina</w:t>
      </w:r>
      <w:r w:rsidRPr="00E52360">
        <w:rPr>
          <w:rFonts w:ascii="Garamond" w:hAnsi="Garamond"/>
          <w:lang w:val="it-IT"/>
        </w:rPr>
        <w:t xml:space="preserve">, Enrico, </w:t>
      </w:r>
      <w:r w:rsidRPr="00E52360">
        <w:rPr>
          <w:rFonts w:ascii="Garamond" w:hAnsi="Garamond"/>
          <w:i/>
          <w:lang w:val="it-IT"/>
        </w:rPr>
        <w:t>Dei progressi dei Diritto Penale in Italia nel Secolo XIX</w:t>
      </w:r>
      <w:r w:rsidRPr="00E52360">
        <w:rPr>
          <w:rFonts w:ascii="Garamond" w:hAnsi="Garamond"/>
          <w:lang w:val="it-IT"/>
        </w:rPr>
        <w:t xml:space="preserve"> (Firenze, Stablimento Civelli</w:t>
      </w:r>
      <w:r w:rsidRPr="000C3C7F">
        <w:rPr>
          <w:rFonts w:ascii="Garamond" w:hAnsi="Garamond"/>
          <w:lang w:val="it-IT"/>
        </w:rPr>
        <w:t xml:space="preserve">, 1868), disponible en </w:t>
      </w:r>
      <w:r w:rsidR="00BC1810" w:rsidRPr="00BC1810">
        <w:rPr>
          <w:rFonts w:ascii="Garamond" w:hAnsi="Garamond"/>
          <w:lang w:val="it-IT"/>
        </w:rPr>
        <w:t xml:space="preserve">https://bit.ly/2HUlVo7 </w:t>
      </w:r>
      <w:r w:rsidRPr="000C3C7F">
        <w:rPr>
          <w:rFonts w:ascii="Garamond" w:hAnsi="Garamond"/>
          <w:lang w:val="it-IT"/>
        </w:rPr>
        <w:t xml:space="preserve">[última visita 22/5/2019]. </w:t>
      </w:r>
    </w:p>
    <w:p w:rsidR="00E229F1" w:rsidRPr="000C3C7F" w:rsidRDefault="00E229F1" w:rsidP="00F56192">
      <w:pPr>
        <w:ind w:left="142" w:hanging="142"/>
        <w:rPr>
          <w:rFonts w:ascii="Garamond" w:hAnsi="Garamond"/>
          <w:lang w:val="it-IT"/>
        </w:rPr>
      </w:pPr>
      <w:r w:rsidRPr="00E52360">
        <w:rPr>
          <w:rFonts w:ascii="Garamond" w:hAnsi="Garamond"/>
          <w:smallCaps/>
          <w:lang w:val="it-IT"/>
        </w:rPr>
        <w:t>Pessina</w:t>
      </w:r>
      <w:r w:rsidRPr="00E52360">
        <w:rPr>
          <w:rFonts w:ascii="Garamond" w:hAnsi="Garamond"/>
          <w:lang w:val="it-IT"/>
        </w:rPr>
        <w:t xml:space="preserve">, Enrico, </w:t>
      </w:r>
      <w:r w:rsidRPr="00E52360">
        <w:rPr>
          <w:rFonts w:ascii="Garamond" w:hAnsi="Garamond"/>
          <w:i/>
          <w:lang w:val="it-IT"/>
        </w:rPr>
        <w:t>Propedeutica al Diritto Penale delle Due Sicilie</w:t>
      </w:r>
      <w:r w:rsidRPr="00E52360">
        <w:rPr>
          <w:rFonts w:ascii="Garamond" w:hAnsi="Garamond"/>
          <w:lang w:val="it-IT"/>
        </w:rPr>
        <w:t xml:space="preserve"> (Napoli, Stabilimento Tipografico dei Classici Italiani</w:t>
      </w:r>
      <w:r w:rsidRPr="000C3C7F">
        <w:rPr>
          <w:rFonts w:ascii="Garamond" w:hAnsi="Garamond"/>
          <w:lang w:val="it-IT"/>
        </w:rPr>
        <w:t xml:space="preserve">, 1858), disponible en </w:t>
      </w:r>
      <w:r w:rsidR="00BC1810" w:rsidRPr="00BC1810">
        <w:rPr>
          <w:rFonts w:ascii="Garamond" w:hAnsi="Garamond"/>
          <w:lang w:val="it-IT"/>
        </w:rPr>
        <w:t>https://bit.ly/2YK3p8Q</w:t>
      </w:r>
      <w:r w:rsidR="00BC1810">
        <w:rPr>
          <w:rFonts w:ascii="Garamond" w:hAnsi="Garamond"/>
          <w:lang w:val="it-IT"/>
        </w:rPr>
        <w:t xml:space="preserve"> </w:t>
      </w:r>
      <w:r w:rsidRPr="000C3C7F">
        <w:rPr>
          <w:rFonts w:ascii="Garamond" w:hAnsi="Garamond"/>
          <w:lang w:val="it-IT"/>
        </w:rPr>
        <w:t xml:space="preserve">[última visita 22/5/2019]. </w:t>
      </w:r>
    </w:p>
    <w:p w:rsidR="00E229F1" w:rsidRPr="002C646E" w:rsidRDefault="00E229F1" w:rsidP="00F56192">
      <w:pPr>
        <w:ind w:left="142" w:hanging="142"/>
        <w:rPr>
          <w:rFonts w:ascii="Garamond" w:hAnsi="Garamond"/>
        </w:rPr>
      </w:pPr>
      <w:r w:rsidRPr="001D6A6B">
        <w:rPr>
          <w:rFonts w:ascii="Garamond" w:hAnsi="Garamond"/>
          <w:smallCaps/>
        </w:rPr>
        <w:lastRenderedPageBreak/>
        <w:t>Politoff</w:t>
      </w:r>
      <w:r w:rsidRPr="002C646E">
        <w:rPr>
          <w:rFonts w:ascii="Garamond" w:hAnsi="Garamond"/>
        </w:rPr>
        <w:t>, Sergio</w:t>
      </w:r>
      <w:r>
        <w:rPr>
          <w:rFonts w:ascii="Garamond" w:hAnsi="Garamond"/>
        </w:rPr>
        <w:t>,</w:t>
      </w:r>
      <w:r w:rsidRPr="002C646E">
        <w:rPr>
          <w:rFonts w:ascii="Garamond" w:hAnsi="Garamond"/>
        </w:rPr>
        <w:t xml:space="preserve"> </w:t>
      </w:r>
      <w:r w:rsidRPr="00AC004F">
        <w:rPr>
          <w:rFonts w:ascii="Garamond" w:hAnsi="Garamond"/>
          <w:smallCaps/>
        </w:rPr>
        <w:t>Grisolía</w:t>
      </w:r>
      <w:r w:rsidRPr="002C646E">
        <w:rPr>
          <w:rFonts w:ascii="Garamond" w:hAnsi="Garamond"/>
        </w:rPr>
        <w:t xml:space="preserve">, Francisco y </w:t>
      </w:r>
      <w:r w:rsidRPr="002C646E">
        <w:rPr>
          <w:rFonts w:ascii="Garamond" w:hAnsi="Garamond"/>
          <w:smallCaps/>
        </w:rPr>
        <w:t>Bustos</w:t>
      </w:r>
      <w:r w:rsidRPr="002C646E">
        <w:rPr>
          <w:rFonts w:ascii="Garamond" w:hAnsi="Garamond"/>
        </w:rPr>
        <w:t>, Juan</w:t>
      </w:r>
      <w:r>
        <w:rPr>
          <w:rFonts w:ascii="Garamond" w:hAnsi="Garamond"/>
        </w:rPr>
        <w:t>,</w:t>
      </w:r>
      <w:r w:rsidRPr="002C646E">
        <w:rPr>
          <w:rFonts w:ascii="Garamond" w:hAnsi="Garamond"/>
        </w:rPr>
        <w:t xml:space="preserve"> </w:t>
      </w:r>
      <w:r w:rsidRPr="00E92C27">
        <w:rPr>
          <w:rFonts w:ascii="Garamond" w:hAnsi="Garamond"/>
          <w:i/>
        </w:rPr>
        <w:t>Derecho Penal chileno. Parte especial. Delitos contra el individuo en sus condiciones físicas</w:t>
      </w:r>
      <w:r w:rsidRPr="002C646E">
        <w:rPr>
          <w:rFonts w:ascii="Garamond" w:hAnsi="Garamond"/>
        </w:rPr>
        <w:t xml:space="preserve"> (</w:t>
      </w:r>
      <w:r>
        <w:rPr>
          <w:rFonts w:ascii="Garamond" w:hAnsi="Garamond"/>
        </w:rPr>
        <w:t xml:space="preserve">1971, 2ª edición, </w:t>
      </w:r>
      <w:r w:rsidRPr="002C646E">
        <w:rPr>
          <w:rFonts w:ascii="Garamond" w:hAnsi="Garamond"/>
        </w:rPr>
        <w:t xml:space="preserve">Santiago, </w:t>
      </w:r>
      <w:r>
        <w:rPr>
          <w:rFonts w:ascii="Garamond" w:hAnsi="Garamond"/>
        </w:rPr>
        <w:t>Editorial Jurídica de Chile, 1993</w:t>
      </w:r>
      <w:r w:rsidRPr="002C646E">
        <w:rPr>
          <w:rFonts w:ascii="Garamond" w:hAnsi="Garamond"/>
        </w:rPr>
        <w:t xml:space="preserve">). </w:t>
      </w:r>
    </w:p>
    <w:p w:rsidR="00E229F1" w:rsidRPr="002C646E" w:rsidRDefault="00E229F1" w:rsidP="00F56192">
      <w:pPr>
        <w:ind w:left="142" w:hanging="142"/>
        <w:rPr>
          <w:rFonts w:ascii="Garamond" w:hAnsi="Garamond"/>
        </w:rPr>
      </w:pPr>
      <w:r w:rsidRPr="00955AC0">
        <w:rPr>
          <w:rFonts w:ascii="Garamond" w:hAnsi="Garamond"/>
          <w:smallCaps/>
        </w:rPr>
        <w:t>Rivacoba y Rivacoba</w:t>
      </w:r>
      <w:r w:rsidRPr="002C646E">
        <w:rPr>
          <w:rFonts w:ascii="Garamond" w:hAnsi="Garamond"/>
        </w:rPr>
        <w:t>, Manuel de</w:t>
      </w:r>
      <w:r>
        <w:rPr>
          <w:rFonts w:ascii="Garamond" w:hAnsi="Garamond"/>
        </w:rPr>
        <w:t>,</w:t>
      </w:r>
      <w:r w:rsidRPr="002C646E">
        <w:rPr>
          <w:rFonts w:ascii="Garamond" w:hAnsi="Garamond"/>
        </w:rPr>
        <w:t xml:space="preserve"> </w:t>
      </w:r>
      <w:r w:rsidRPr="00F916C6">
        <w:rPr>
          <w:rFonts w:ascii="Garamond" w:hAnsi="Garamond"/>
          <w:i/>
        </w:rPr>
        <w:t>Estudio preliminar</w:t>
      </w:r>
      <w:r>
        <w:rPr>
          <w:rFonts w:ascii="Garamond" w:hAnsi="Garamond"/>
        </w:rPr>
        <w:t>,</w:t>
      </w:r>
      <w:r w:rsidRPr="002C646E">
        <w:rPr>
          <w:rFonts w:ascii="Garamond" w:hAnsi="Garamond"/>
        </w:rPr>
        <w:t xml:space="preserve"> en </w:t>
      </w:r>
      <w:r w:rsidRPr="002C646E">
        <w:rPr>
          <w:rFonts w:ascii="Garamond" w:hAnsi="Garamond"/>
          <w:smallCaps/>
        </w:rPr>
        <w:t xml:space="preserve">Rivacoba </w:t>
      </w:r>
      <w:r>
        <w:rPr>
          <w:rFonts w:ascii="Garamond" w:hAnsi="Garamond"/>
          <w:smallCaps/>
        </w:rPr>
        <w:t>y</w:t>
      </w:r>
      <w:r w:rsidRPr="002C646E">
        <w:rPr>
          <w:rFonts w:ascii="Garamond" w:hAnsi="Garamond"/>
          <w:smallCaps/>
        </w:rPr>
        <w:t xml:space="preserve"> Rivacoba</w:t>
      </w:r>
      <w:r w:rsidRPr="002C646E">
        <w:rPr>
          <w:rFonts w:ascii="Garamond" w:hAnsi="Garamond"/>
        </w:rPr>
        <w:t>, M</w:t>
      </w:r>
      <w:r>
        <w:rPr>
          <w:rFonts w:ascii="Garamond" w:hAnsi="Garamond"/>
        </w:rPr>
        <w:t>anuel de (director</w:t>
      </w:r>
      <w:r w:rsidRPr="002C646E">
        <w:rPr>
          <w:rFonts w:ascii="Garamond" w:hAnsi="Garamond"/>
        </w:rPr>
        <w:t xml:space="preserve">), </w:t>
      </w:r>
      <w:r w:rsidRPr="00F916C6">
        <w:rPr>
          <w:rFonts w:ascii="Garamond" w:hAnsi="Garamond"/>
          <w:i/>
        </w:rPr>
        <w:t>Código Penal de la República de Chile y Actas de las sesiones de la Comisión Redactora</w:t>
      </w:r>
      <w:r w:rsidRPr="002C646E">
        <w:rPr>
          <w:rFonts w:ascii="Garamond" w:hAnsi="Garamond"/>
        </w:rPr>
        <w:t xml:space="preserve"> (Valparaíso, </w:t>
      </w:r>
      <w:r>
        <w:rPr>
          <w:rFonts w:ascii="Garamond" w:hAnsi="Garamond"/>
        </w:rPr>
        <w:t xml:space="preserve">Edeval, </w:t>
      </w:r>
      <w:r w:rsidRPr="002C646E">
        <w:rPr>
          <w:rFonts w:ascii="Garamond" w:hAnsi="Garamond"/>
        </w:rPr>
        <w:t>1974)</w:t>
      </w:r>
      <w:r>
        <w:rPr>
          <w:rFonts w:ascii="Garamond" w:hAnsi="Garamond"/>
        </w:rPr>
        <w:t>, pp. IX-LV</w:t>
      </w:r>
      <w:r w:rsidRPr="002C646E">
        <w:rPr>
          <w:rFonts w:ascii="Garamond" w:hAnsi="Garamond"/>
        </w:rPr>
        <w:t xml:space="preserve">. </w:t>
      </w:r>
    </w:p>
    <w:p w:rsidR="00E229F1" w:rsidRPr="002C646E" w:rsidRDefault="00E229F1" w:rsidP="00F56192">
      <w:pPr>
        <w:ind w:left="142" w:hanging="142"/>
        <w:rPr>
          <w:rFonts w:ascii="Garamond" w:hAnsi="Garamond"/>
        </w:rPr>
      </w:pPr>
      <w:r w:rsidRPr="00662DB6">
        <w:rPr>
          <w:rFonts w:ascii="Garamond" w:hAnsi="Garamond"/>
          <w:smallCaps/>
        </w:rPr>
        <w:t>Rivacoba y Rivacoba</w:t>
      </w:r>
      <w:r w:rsidRPr="002C646E">
        <w:rPr>
          <w:rFonts w:ascii="Garamond" w:hAnsi="Garamond"/>
        </w:rPr>
        <w:t>, Manuel de (dir</w:t>
      </w:r>
      <w:r>
        <w:rPr>
          <w:rFonts w:ascii="Garamond" w:hAnsi="Garamond"/>
        </w:rPr>
        <w:t>ector</w:t>
      </w:r>
      <w:r w:rsidRPr="002C646E">
        <w:rPr>
          <w:rFonts w:ascii="Garamond" w:hAnsi="Garamond"/>
        </w:rPr>
        <w:t>)</w:t>
      </w:r>
      <w:r>
        <w:rPr>
          <w:rFonts w:ascii="Garamond" w:hAnsi="Garamond"/>
        </w:rPr>
        <w:t>,</w:t>
      </w:r>
      <w:r w:rsidRPr="002C646E">
        <w:rPr>
          <w:rFonts w:ascii="Garamond" w:hAnsi="Garamond"/>
        </w:rPr>
        <w:t xml:space="preserve"> </w:t>
      </w:r>
      <w:r w:rsidRPr="009B13B7">
        <w:rPr>
          <w:rFonts w:ascii="Garamond" w:hAnsi="Garamond"/>
          <w:i/>
        </w:rPr>
        <w:t>Código Penal de la República de Chile</w:t>
      </w:r>
      <w:r w:rsidRPr="009675CE">
        <w:rPr>
          <w:rFonts w:ascii="Garamond" w:hAnsi="Garamond"/>
        </w:rPr>
        <w:t xml:space="preserve"> </w:t>
      </w:r>
      <w:r w:rsidRPr="009B13B7">
        <w:rPr>
          <w:rFonts w:ascii="Garamond" w:hAnsi="Garamond"/>
          <w:i/>
        </w:rPr>
        <w:t>y Actas de las sesiones de la Comisión Redactora</w:t>
      </w:r>
      <w:r w:rsidRPr="002C646E">
        <w:rPr>
          <w:rFonts w:ascii="Garamond" w:hAnsi="Garamond"/>
        </w:rPr>
        <w:t xml:space="preserve"> (Valparaíso, </w:t>
      </w:r>
      <w:r>
        <w:rPr>
          <w:rFonts w:ascii="Garamond" w:hAnsi="Garamond"/>
        </w:rPr>
        <w:t xml:space="preserve">Edeval, </w:t>
      </w:r>
      <w:r w:rsidRPr="002C646E">
        <w:rPr>
          <w:rFonts w:ascii="Garamond" w:hAnsi="Garamond"/>
        </w:rPr>
        <w:t>1974).</w:t>
      </w:r>
    </w:p>
    <w:p w:rsidR="00E229F1" w:rsidRPr="002C646E" w:rsidRDefault="00E229F1" w:rsidP="00F56192">
      <w:pPr>
        <w:ind w:left="142" w:hanging="142"/>
        <w:rPr>
          <w:rFonts w:ascii="Garamond" w:hAnsi="Garamond"/>
        </w:rPr>
      </w:pPr>
      <w:r w:rsidRPr="00662DB6">
        <w:rPr>
          <w:rFonts w:ascii="Garamond" w:hAnsi="Garamond"/>
          <w:smallCaps/>
        </w:rPr>
        <w:t>Rodríguez Collao</w:t>
      </w:r>
      <w:r w:rsidRPr="002C646E">
        <w:rPr>
          <w:rFonts w:ascii="Garamond" w:hAnsi="Garamond"/>
        </w:rPr>
        <w:t>, Luis</w:t>
      </w:r>
      <w:r>
        <w:rPr>
          <w:rFonts w:ascii="Garamond" w:hAnsi="Garamond"/>
        </w:rPr>
        <w:t>,</w:t>
      </w:r>
      <w:r w:rsidRPr="002C646E">
        <w:rPr>
          <w:rFonts w:ascii="Garamond" w:hAnsi="Garamond"/>
        </w:rPr>
        <w:t xml:space="preserve"> </w:t>
      </w:r>
      <w:r w:rsidRPr="00E92C27">
        <w:rPr>
          <w:rFonts w:ascii="Garamond" w:hAnsi="Garamond"/>
          <w:i/>
        </w:rPr>
        <w:t>Naturaleza y fundamento de las circunstancias modificatorias de responsabilidad criminal</w:t>
      </w:r>
      <w:r w:rsidRPr="002C646E">
        <w:rPr>
          <w:rFonts w:ascii="Garamond" w:hAnsi="Garamond"/>
        </w:rPr>
        <w:t xml:space="preserve">, </w:t>
      </w:r>
      <w:r>
        <w:rPr>
          <w:rFonts w:ascii="Garamond" w:hAnsi="Garamond"/>
        </w:rPr>
        <w:t xml:space="preserve">en </w:t>
      </w:r>
      <w:r w:rsidRPr="002C646E">
        <w:rPr>
          <w:rFonts w:ascii="Garamond" w:hAnsi="Garamond"/>
          <w:i/>
        </w:rPr>
        <w:t>Revista de Derecho de la Pontificia Universidad Católica de Chile</w:t>
      </w:r>
      <w:r w:rsidRPr="00E92C27">
        <w:rPr>
          <w:rFonts w:ascii="Garamond" w:hAnsi="Garamond"/>
        </w:rPr>
        <w:t>, XXXVI,</w:t>
      </w:r>
      <w:r>
        <w:rPr>
          <w:rFonts w:ascii="Garamond" w:hAnsi="Garamond"/>
        </w:rPr>
        <w:t xml:space="preserve"> </w:t>
      </w:r>
      <w:r w:rsidRPr="002C646E">
        <w:rPr>
          <w:rFonts w:ascii="Garamond" w:hAnsi="Garamond"/>
        </w:rPr>
        <w:t>(2011)</w:t>
      </w:r>
      <w:r>
        <w:rPr>
          <w:rFonts w:ascii="Garamond" w:hAnsi="Garamond"/>
        </w:rPr>
        <w:t>,</w:t>
      </w:r>
      <w:r w:rsidRPr="002C646E">
        <w:rPr>
          <w:rFonts w:ascii="Garamond" w:hAnsi="Garamond"/>
        </w:rPr>
        <w:t xml:space="preserve"> pp. 397-428.</w:t>
      </w:r>
    </w:p>
    <w:p w:rsidR="00E229F1" w:rsidRDefault="00E229F1" w:rsidP="00F56192">
      <w:pPr>
        <w:ind w:left="142" w:hanging="142"/>
        <w:rPr>
          <w:rFonts w:ascii="Garamond" w:hAnsi="Garamond"/>
        </w:rPr>
      </w:pPr>
      <w:r w:rsidRPr="008D3BD5">
        <w:rPr>
          <w:rFonts w:ascii="Garamond" w:hAnsi="Garamond"/>
          <w:smallCaps/>
        </w:rPr>
        <w:t>Rodríguez Collao</w:t>
      </w:r>
      <w:r w:rsidRPr="002C646E">
        <w:rPr>
          <w:rFonts w:ascii="Garamond" w:hAnsi="Garamond"/>
        </w:rPr>
        <w:t xml:space="preserve">, Luis y </w:t>
      </w:r>
      <w:r w:rsidRPr="00AC004F">
        <w:rPr>
          <w:rFonts w:ascii="Garamond" w:hAnsi="Garamond"/>
          <w:smallCaps/>
        </w:rPr>
        <w:t>Ossandón</w:t>
      </w:r>
      <w:r w:rsidRPr="002C646E">
        <w:rPr>
          <w:rFonts w:ascii="Garamond" w:hAnsi="Garamond"/>
          <w:smallCaps/>
        </w:rPr>
        <w:t xml:space="preserve"> </w:t>
      </w:r>
      <w:r w:rsidRPr="00AC004F">
        <w:rPr>
          <w:rFonts w:ascii="Garamond" w:hAnsi="Garamond"/>
          <w:smallCaps/>
        </w:rPr>
        <w:t>Widow</w:t>
      </w:r>
      <w:r w:rsidRPr="002C646E">
        <w:rPr>
          <w:rFonts w:ascii="Garamond" w:hAnsi="Garamond"/>
        </w:rPr>
        <w:t>, María Magdalena</w:t>
      </w:r>
      <w:r>
        <w:rPr>
          <w:rFonts w:ascii="Garamond" w:hAnsi="Garamond"/>
        </w:rPr>
        <w:t>,</w:t>
      </w:r>
      <w:r w:rsidRPr="002C646E">
        <w:rPr>
          <w:rFonts w:ascii="Garamond" w:hAnsi="Garamond"/>
        </w:rPr>
        <w:t xml:space="preserve"> </w:t>
      </w:r>
      <w:r w:rsidRPr="00821CC3">
        <w:rPr>
          <w:rFonts w:ascii="Garamond" w:hAnsi="Garamond"/>
          <w:i/>
        </w:rPr>
        <w:t>Delitos contra la función pública</w:t>
      </w:r>
      <w:r w:rsidRPr="002C646E">
        <w:rPr>
          <w:rFonts w:ascii="Garamond" w:hAnsi="Garamond"/>
        </w:rPr>
        <w:t xml:space="preserve"> (</w:t>
      </w:r>
      <w:r>
        <w:rPr>
          <w:rFonts w:ascii="Garamond" w:hAnsi="Garamond"/>
        </w:rPr>
        <w:t xml:space="preserve">2004, 2ª edición, </w:t>
      </w:r>
      <w:r w:rsidRPr="002C646E">
        <w:rPr>
          <w:rFonts w:ascii="Garamond" w:hAnsi="Garamond"/>
        </w:rPr>
        <w:t xml:space="preserve">Santiago, </w:t>
      </w:r>
      <w:r>
        <w:rPr>
          <w:rFonts w:ascii="Garamond" w:hAnsi="Garamond"/>
        </w:rPr>
        <w:t xml:space="preserve">Editorial Jurídica de Chile, </w:t>
      </w:r>
      <w:r w:rsidRPr="002C646E">
        <w:rPr>
          <w:rFonts w:ascii="Garamond" w:hAnsi="Garamond"/>
        </w:rPr>
        <w:t xml:space="preserve">2008). </w:t>
      </w:r>
    </w:p>
    <w:p w:rsidR="00E229F1" w:rsidRDefault="00E229F1" w:rsidP="00F56192">
      <w:pPr>
        <w:ind w:left="142" w:hanging="142"/>
        <w:rPr>
          <w:rFonts w:ascii="Garamond" w:hAnsi="Garamond"/>
        </w:rPr>
      </w:pPr>
      <w:r w:rsidRPr="00662DB6">
        <w:rPr>
          <w:rFonts w:ascii="Garamond" w:hAnsi="Garamond"/>
          <w:smallCaps/>
        </w:rPr>
        <w:t>Rubio Varas</w:t>
      </w:r>
      <w:r w:rsidRPr="00662DB6">
        <w:rPr>
          <w:rFonts w:ascii="Garamond" w:hAnsi="Garamond"/>
        </w:rPr>
        <w:t>,</w:t>
      </w:r>
      <w:r>
        <w:rPr>
          <w:rFonts w:ascii="Garamond" w:hAnsi="Garamond"/>
        </w:rPr>
        <w:t xml:space="preserve"> Francisco Javier, </w:t>
      </w:r>
      <w:r w:rsidRPr="00F83E7B">
        <w:rPr>
          <w:rFonts w:ascii="Garamond" w:hAnsi="Garamond"/>
          <w:i/>
        </w:rPr>
        <w:t>Notas histórico-dogmáticas de la interpretación de los contratos en el Código Civil chileno</w:t>
      </w:r>
      <w:r>
        <w:rPr>
          <w:rFonts w:ascii="Garamond" w:hAnsi="Garamond"/>
        </w:rPr>
        <w:t xml:space="preserve">, en </w:t>
      </w:r>
      <w:r w:rsidRPr="00F83E7B">
        <w:rPr>
          <w:rFonts w:ascii="Garamond" w:hAnsi="Garamond"/>
          <w:i/>
        </w:rPr>
        <w:t>Revista Chilena de Derecho</w:t>
      </w:r>
      <w:r>
        <w:rPr>
          <w:rFonts w:ascii="Garamond" w:hAnsi="Garamond"/>
        </w:rPr>
        <w:t xml:space="preserve">, 45 (2018), 2, pp. 553-563. </w:t>
      </w:r>
    </w:p>
    <w:p w:rsidR="00E229F1" w:rsidRPr="000C3C7F" w:rsidRDefault="00E229F1" w:rsidP="00F56192">
      <w:pPr>
        <w:ind w:left="142" w:hanging="142"/>
        <w:rPr>
          <w:rFonts w:ascii="Garamond" w:hAnsi="Garamond"/>
          <w:lang w:val="it-IT"/>
        </w:rPr>
      </w:pPr>
      <w:r w:rsidRPr="00E52360">
        <w:rPr>
          <w:rFonts w:ascii="Garamond" w:hAnsi="Garamond"/>
          <w:smallCaps/>
          <w:lang w:val="it-IT"/>
        </w:rPr>
        <w:t>Saluto</w:t>
      </w:r>
      <w:r w:rsidRPr="00E52360">
        <w:rPr>
          <w:rFonts w:ascii="Garamond" w:hAnsi="Garamond"/>
          <w:lang w:val="it-IT"/>
        </w:rPr>
        <w:t xml:space="preserve">, Francesco, </w:t>
      </w:r>
      <w:r w:rsidRPr="00E52360">
        <w:rPr>
          <w:rFonts w:ascii="Garamond" w:hAnsi="Garamond"/>
          <w:i/>
          <w:lang w:val="it-IT"/>
        </w:rPr>
        <w:t>Diritto penale secondo l’ ordine del Codice per lo Regno delle Due Sigilie</w:t>
      </w:r>
      <w:r w:rsidRPr="00E52360">
        <w:rPr>
          <w:rFonts w:ascii="Garamond" w:hAnsi="Garamond"/>
          <w:lang w:val="it-IT"/>
        </w:rPr>
        <w:t xml:space="preserve"> (Palermo, Tipografia di Pietro Morvillo</w:t>
      </w:r>
      <w:r w:rsidRPr="000C3C7F">
        <w:rPr>
          <w:rFonts w:ascii="Garamond" w:hAnsi="Garamond"/>
          <w:lang w:val="it-IT"/>
        </w:rPr>
        <w:t xml:space="preserve">, 1858), I, disponible en </w:t>
      </w:r>
      <w:r w:rsidR="00BC1810" w:rsidRPr="00BC1810">
        <w:rPr>
          <w:rFonts w:ascii="Garamond" w:hAnsi="Garamond"/>
          <w:lang w:val="it-IT"/>
        </w:rPr>
        <w:t xml:space="preserve">https://bit.ly/2VK7ojZ </w:t>
      </w:r>
      <w:r w:rsidRPr="000C3C7F">
        <w:rPr>
          <w:rFonts w:ascii="Garamond" w:hAnsi="Garamond"/>
          <w:lang w:val="it-IT"/>
        </w:rPr>
        <w:t>[última visita 2</w:t>
      </w:r>
      <w:r w:rsidR="00C4486B">
        <w:rPr>
          <w:rFonts w:ascii="Garamond" w:hAnsi="Garamond"/>
          <w:lang w:val="it-IT"/>
        </w:rPr>
        <w:t>3</w:t>
      </w:r>
      <w:r w:rsidRPr="000C3C7F">
        <w:rPr>
          <w:rFonts w:ascii="Garamond" w:hAnsi="Garamond"/>
          <w:lang w:val="it-IT"/>
        </w:rPr>
        <w:t>/5/2019].</w:t>
      </w:r>
    </w:p>
    <w:p w:rsidR="00E229F1" w:rsidRPr="000C3C7F" w:rsidRDefault="00E229F1" w:rsidP="00F56192">
      <w:pPr>
        <w:ind w:left="142" w:hanging="142"/>
        <w:rPr>
          <w:rFonts w:ascii="Garamond" w:hAnsi="Garamond"/>
          <w:lang w:val="it-IT"/>
        </w:rPr>
      </w:pPr>
      <w:r w:rsidRPr="00E52360">
        <w:rPr>
          <w:rFonts w:ascii="Garamond" w:hAnsi="Garamond"/>
          <w:smallCaps/>
          <w:lang w:val="it-IT"/>
        </w:rPr>
        <w:t>Saluto</w:t>
      </w:r>
      <w:r w:rsidRPr="00E52360">
        <w:rPr>
          <w:rFonts w:ascii="Garamond" w:hAnsi="Garamond"/>
          <w:lang w:val="it-IT"/>
        </w:rPr>
        <w:t xml:space="preserve">, Francesco, </w:t>
      </w:r>
      <w:r w:rsidRPr="00E52360">
        <w:rPr>
          <w:rFonts w:ascii="Garamond" w:hAnsi="Garamond"/>
          <w:i/>
          <w:lang w:val="it-IT"/>
        </w:rPr>
        <w:t>Diritto penale secondo l’ ordine del Codice per lo Regno delle Due Sigilie</w:t>
      </w:r>
      <w:r w:rsidRPr="00E52360">
        <w:rPr>
          <w:rFonts w:ascii="Garamond" w:hAnsi="Garamond"/>
          <w:lang w:val="it-IT"/>
        </w:rPr>
        <w:t xml:space="preserve"> (Palermo, Tipografia di Pietro Morvillo</w:t>
      </w:r>
      <w:r w:rsidRPr="000C3C7F">
        <w:rPr>
          <w:rFonts w:ascii="Garamond" w:hAnsi="Garamond"/>
          <w:lang w:val="it-IT"/>
        </w:rPr>
        <w:t xml:space="preserve">, 1856), II, disponible en </w:t>
      </w:r>
      <w:r w:rsidR="00BC1810" w:rsidRPr="00BC1810">
        <w:rPr>
          <w:rFonts w:ascii="Garamond" w:hAnsi="Garamond"/>
          <w:lang w:val="it-IT"/>
        </w:rPr>
        <w:t xml:space="preserve">https://bit.ly/2VK7ojZ </w:t>
      </w:r>
      <w:r w:rsidRPr="000C3C7F">
        <w:rPr>
          <w:rFonts w:ascii="Garamond" w:hAnsi="Garamond"/>
          <w:lang w:val="it-IT"/>
        </w:rPr>
        <w:t>[última visita 2</w:t>
      </w:r>
      <w:r w:rsidR="00C4486B">
        <w:rPr>
          <w:rFonts w:ascii="Garamond" w:hAnsi="Garamond"/>
          <w:lang w:val="it-IT"/>
        </w:rPr>
        <w:t>3</w:t>
      </w:r>
      <w:r w:rsidRPr="000C3C7F">
        <w:rPr>
          <w:rFonts w:ascii="Garamond" w:hAnsi="Garamond"/>
          <w:lang w:val="it-IT"/>
        </w:rPr>
        <w:t>/5/2019].</w:t>
      </w:r>
    </w:p>
    <w:p w:rsidR="00E229F1" w:rsidRPr="00D77B97" w:rsidRDefault="00E229F1" w:rsidP="00F56192">
      <w:pPr>
        <w:ind w:left="142" w:hanging="142"/>
        <w:rPr>
          <w:rFonts w:ascii="Garamond" w:hAnsi="Garamond"/>
          <w:lang w:val="es-CL"/>
        </w:rPr>
      </w:pPr>
      <w:r w:rsidRPr="002C6244">
        <w:rPr>
          <w:rFonts w:ascii="Garamond" w:hAnsi="Garamond"/>
          <w:smallCaps/>
          <w:lang w:val="es-CL"/>
        </w:rPr>
        <w:t>Sirks</w:t>
      </w:r>
      <w:r w:rsidRPr="002C6244">
        <w:rPr>
          <w:rFonts w:ascii="Garamond" w:hAnsi="Garamond"/>
          <w:lang w:val="es-CL"/>
        </w:rPr>
        <w:t xml:space="preserve">, </w:t>
      </w:r>
      <w:proofErr w:type="spellStart"/>
      <w:r w:rsidRPr="002C6244">
        <w:rPr>
          <w:rFonts w:ascii="Garamond" w:hAnsi="Garamond"/>
          <w:lang w:val="es-CL"/>
        </w:rPr>
        <w:t>A.J.B</w:t>
      </w:r>
      <w:proofErr w:type="spellEnd"/>
      <w:r w:rsidRPr="002C6244">
        <w:rPr>
          <w:rFonts w:ascii="Garamond" w:hAnsi="Garamond"/>
          <w:lang w:val="es-CL"/>
        </w:rPr>
        <w:t xml:space="preserve">., Furtum </w:t>
      </w:r>
      <w:r w:rsidRPr="002C6244">
        <w:rPr>
          <w:rFonts w:ascii="Garamond" w:hAnsi="Garamond"/>
          <w:i/>
          <w:lang w:val="es-CL"/>
        </w:rPr>
        <w:t>and</w:t>
      </w:r>
      <w:r w:rsidRPr="002C6244">
        <w:rPr>
          <w:rFonts w:ascii="Garamond" w:hAnsi="Garamond"/>
          <w:lang w:val="es-CL"/>
        </w:rPr>
        <w:t xml:space="preserve"> manus / potestas, en </w:t>
      </w:r>
      <w:r w:rsidRPr="002C6244">
        <w:rPr>
          <w:rFonts w:ascii="Garamond" w:hAnsi="Garamond"/>
          <w:i/>
          <w:lang w:val="es-CL"/>
        </w:rPr>
        <w:t>TR</w:t>
      </w:r>
      <w:r w:rsidRPr="002C6244">
        <w:rPr>
          <w:rFonts w:ascii="Garamond" w:hAnsi="Garamond"/>
          <w:lang w:val="es-CL"/>
        </w:rPr>
        <w:t>, 81 (2013), 3-4,</w:t>
      </w:r>
      <w:r w:rsidRPr="002C6244">
        <w:rPr>
          <w:rFonts w:ascii="Garamond" w:hAnsi="Garamond"/>
          <w:i/>
          <w:lang w:val="es-CL"/>
        </w:rPr>
        <w:t xml:space="preserve"> </w:t>
      </w:r>
      <w:r w:rsidRPr="002C6244">
        <w:rPr>
          <w:rFonts w:ascii="Garamond" w:hAnsi="Garamond"/>
          <w:lang w:val="es-CL"/>
        </w:rPr>
        <w:t xml:space="preserve">pp. 465-506. </w:t>
      </w:r>
    </w:p>
    <w:p w:rsidR="00E229F1" w:rsidRPr="002C646E" w:rsidRDefault="00E229F1" w:rsidP="00F56192">
      <w:pPr>
        <w:ind w:left="142" w:hanging="142"/>
        <w:rPr>
          <w:rFonts w:ascii="Garamond" w:hAnsi="Garamond"/>
        </w:rPr>
      </w:pPr>
      <w:r w:rsidRPr="00662DB6">
        <w:rPr>
          <w:rFonts w:ascii="Garamond" w:hAnsi="Garamond"/>
          <w:smallCaps/>
        </w:rPr>
        <w:t>Van Weezel</w:t>
      </w:r>
      <w:r w:rsidRPr="0027567E">
        <w:rPr>
          <w:rFonts w:ascii="Garamond" w:hAnsi="Garamond"/>
        </w:rPr>
        <w:t xml:space="preserve">, Alex, </w:t>
      </w:r>
      <w:r w:rsidRPr="002D2A8D">
        <w:rPr>
          <w:rFonts w:ascii="Garamond" w:hAnsi="Garamond"/>
          <w:i/>
        </w:rPr>
        <w:t>Error y mero desconocimiento en Derecho Penal</w:t>
      </w:r>
      <w:r w:rsidRPr="0027567E">
        <w:rPr>
          <w:rFonts w:ascii="Garamond" w:hAnsi="Garamond"/>
        </w:rPr>
        <w:t xml:space="preserve"> (</w:t>
      </w:r>
      <w:r>
        <w:rPr>
          <w:rFonts w:ascii="Garamond" w:hAnsi="Garamond"/>
        </w:rPr>
        <w:t xml:space="preserve">2008, 2ª edición, </w:t>
      </w:r>
      <w:r w:rsidRPr="0027567E">
        <w:rPr>
          <w:rFonts w:ascii="Garamond" w:hAnsi="Garamond"/>
        </w:rPr>
        <w:t xml:space="preserve">Santiago, </w:t>
      </w:r>
      <w:r>
        <w:rPr>
          <w:rFonts w:ascii="Garamond" w:hAnsi="Garamond"/>
        </w:rPr>
        <w:t xml:space="preserve">Legal Publishing, </w:t>
      </w:r>
      <w:r w:rsidRPr="0027567E">
        <w:rPr>
          <w:rFonts w:ascii="Garamond" w:hAnsi="Garamond"/>
        </w:rPr>
        <w:t>2009)</w:t>
      </w:r>
      <w:r>
        <w:rPr>
          <w:rFonts w:ascii="Garamond" w:hAnsi="Garamond"/>
        </w:rPr>
        <w:t>.</w:t>
      </w:r>
    </w:p>
    <w:p w:rsidR="00E229F1" w:rsidRPr="002C646E" w:rsidRDefault="00E229F1" w:rsidP="00F56192">
      <w:pPr>
        <w:ind w:left="142" w:hanging="142"/>
        <w:rPr>
          <w:rFonts w:ascii="Garamond" w:hAnsi="Garamond"/>
        </w:rPr>
      </w:pPr>
      <w:r w:rsidRPr="00955AC0">
        <w:rPr>
          <w:rFonts w:ascii="Garamond" w:hAnsi="Garamond"/>
          <w:smallCaps/>
        </w:rPr>
        <w:t>Van Weezel</w:t>
      </w:r>
      <w:r w:rsidRPr="002C646E">
        <w:rPr>
          <w:rFonts w:ascii="Garamond" w:hAnsi="Garamond"/>
        </w:rPr>
        <w:t>, Alex</w:t>
      </w:r>
      <w:r>
        <w:rPr>
          <w:rFonts w:ascii="Garamond" w:hAnsi="Garamond"/>
        </w:rPr>
        <w:t>,</w:t>
      </w:r>
      <w:r w:rsidRPr="002C646E">
        <w:rPr>
          <w:rFonts w:ascii="Garamond" w:hAnsi="Garamond"/>
        </w:rPr>
        <w:t xml:space="preserve"> </w:t>
      </w:r>
      <w:r w:rsidRPr="00603203">
        <w:rPr>
          <w:rFonts w:ascii="Garamond" w:hAnsi="Garamond"/>
          <w:i/>
        </w:rPr>
        <w:t>El sujeto activo del delito previsto en</w:t>
      </w:r>
      <w:r>
        <w:rPr>
          <w:rFonts w:ascii="Garamond" w:hAnsi="Garamond"/>
          <w:i/>
        </w:rPr>
        <w:t xml:space="preserve"> </w:t>
      </w:r>
      <w:r w:rsidRPr="00603203">
        <w:rPr>
          <w:rFonts w:ascii="Garamond" w:hAnsi="Garamond"/>
          <w:i/>
        </w:rPr>
        <w:t>el artículo 97</w:t>
      </w:r>
      <w:r>
        <w:rPr>
          <w:rFonts w:ascii="Garamond" w:hAnsi="Garamond"/>
          <w:i/>
        </w:rPr>
        <w:t xml:space="preserve"> </w:t>
      </w:r>
      <w:r w:rsidRPr="00603203">
        <w:rPr>
          <w:rFonts w:ascii="Garamond" w:hAnsi="Garamond"/>
          <w:i/>
        </w:rPr>
        <w:t>N° 4 inciso 2º del Código Tributario</w:t>
      </w:r>
      <w:r w:rsidRPr="002C646E">
        <w:rPr>
          <w:rFonts w:ascii="Garamond" w:hAnsi="Garamond"/>
        </w:rPr>
        <w:t>,</w:t>
      </w:r>
      <w:r>
        <w:rPr>
          <w:rFonts w:ascii="Garamond" w:hAnsi="Garamond"/>
        </w:rPr>
        <w:t xml:space="preserve"> en</w:t>
      </w:r>
      <w:r w:rsidRPr="002C646E">
        <w:rPr>
          <w:rFonts w:ascii="Garamond" w:hAnsi="Garamond"/>
        </w:rPr>
        <w:t xml:space="preserve"> </w:t>
      </w:r>
      <w:r w:rsidRPr="002C646E">
        <w:rPr>
          <w:rFonts w:ascii="Garamond" w:hAnsi="Garamond"/>
          <w:i/>
        </w:rPr>
        <w:t>Jurisprudencia al día</w:t>
      </w:r>
      <w:r w:rsidRPr="00470018">
        <w:rPr>
          <w:rFonts w:ascii="Garamond" w:hAnsi="Garamond"/>
        </w:rPr>
        <w:t>, III</w:t>
      </w:r>
      <w:r w:rsidRPr="002C646E">
        <w:rPr>
          <w:rFonts w:ascii="Garamond" w:hAnsi="Garamond"/>
        </w:rPr>
        <w:t xml:space="preserve"> (2008)</w:t>
      </w:r>
      <w:r w:rsidRPr="009675CE">
        <w:rPr>
          <w:rFonts w:ascii="Garamond" w:hAnsi="Garamond"/>
          <w:i/>
        </w:rPr>
        <w:t xml:space="preserve">, </w:t>
      </w:r>
      <w:r w:rsidRPr="00470018">
        <w:rPr>
          <w:rFonts w:ascii="Garamond" w:hAnsi="Garamond"/>
        </w:rPr>
        <w:t>101</w:t>
      </w:r>
      <w:r>
        <w:rPr>
          <w:rFonts w:ascii="Garamond" w:hAnsi="Garamond"/>
        </w:rPr>
        <w:t xml:space="preserve">, </w:t>
      </w:r>
      <w:r w:rsidRPr="002C646E">
        <w:rPr>
          <w:rFonts w:ascii="Garamond" w:hAnsi="Garamond"/>
        </w:rPr>
        <w:t xml:space="preserve">pp. 1165-1166. </w:t>
      </w:r>
    </w:p>
    <w:p w:rsidR="00E229F1" w:rsidRPr="002C646E" w:rsidRDefault="00E229F1" w:rsidP="00F56192">
      <w:pPr>
        <w:ind w:left="142" w:hanging="142"/>
        <w:rPr>
          <w:rFonts w:ascii="Garamond" w:hAnsi="Garamond"/>
        </w:rPr>
      </w:pPr>
      <w:r w:rsidRPr="008D3BD5">
        <w:rPr>
          <w:rFonts w:ascii="Garamond" w:hAnsi="Garamond"/>
          <w:smallCaps/>
        </w:rPr>
        <w:t>Van Weezel</w:t>
      </w:r>
      <w:r w:rsidRPr="002C646E">
        <w:rPr>
          <w:rFonts w:ascii="Garamond" w:hAnsi="Garamond"/>
        </w:rPr>
        <w:t>, Alex</w:t>
      </w:r>
      <w:r>
        <w:rPr>
          <w:rFonts w:ascii="Garamond" w:hAnsi="Garamond"/>
        </w:rPr>
        <w:t>,</w:t>
      </w:r>
      <w:r w:rsidRPr="002C646E">
        <w:rPr>
          <w:rFonts w:ascii="Garamond" w:hAnsi="Garamond"/>
        </w:rPr>
        <w:t xml:space="preserve"> </w:t>
      </w:r>
      <w:r w:rsidRPr="00472021">
        <w:rPr>
          <w:rFonts w:ascii="Garamond" w:hAnsi="Garamond"/>
          <w:i/>
        </w:rPr>
        <w:t>Delitos tributarios</w:t>
      </w:r>
      <w:r w:rsidRPr="002C646E">
        <w:rPr>
          <w:rFonts w:ascii="Garamond" w:hAnsi="Garamond"/>
        </w:rPr>
        <w:t xml:space="preserve"> (</w:t>
      </w:r>
      <w:r>
        <w:rPr>
          <w:rFonts w:ascii="Garamond" w:hAnsi="Garamond"/>
        </w:rPr>
        <w:t xml:space="preserve">reimp. 2016, </w:t>
      </w:r>
      <w:r w:rsidRPr="002C646E">
        <w:rPr>
          <w:rFonts w:ascii="Garamond" w:hAnsi="Garamond"/>
        </w:rPr>
        <w:t xml:space="preserve">Santiago, </w:t>
      </w:r>
      <w:r>
        <w:rPr>
          <w:rFonts w:ascii="Garamond" w:hAnsi="Garamond"/>
        </w:rPr>
        <w:t xml:space="preserve">Editorial Jurídica de Chile, </w:t>
      </w:r>
      <w:r w:rsidRPr="002C646E">
        <w:rPr>
          <w:rFonts w:ascii="Garamond" w:hAnsi="Garamond"/>
        </w:rPr>
        <w:t xml:space="preserve">2007). </w:t>
      </w:r>
    </w:p>
    <w:p w:rsidR="00E229F1" w:rsidRPr="002C646E" w:rsidRDefault="00E229F1" w:rsidP="00F56192">
      <w:pPr>
        <w:ind w:left="142" w:hanging="142"/>
        <w:rPr>
          <w:rFonts w:ascii="Garamond" w:hAnsi="Garamond"/>
        </w:rPr>
      </w:pPr>
      <w:r w:rsidRPr="00E84452">
        <w:rPr>
          <w:rFonts w:ascii="Garamond" w:hAnsi="Garamond"/>
          <w:smallCaps/>
        </w:rPr>
        <w:t>Von Ihering</w:t>
      </w:r>
      <w:r w:rsidRPr="002C646E">
        <w:rPr>
          <w:rFonts w:ascii="Garamond" w:hAnsi="Garamond"/>
        </w:rPr>
        <w:t>, Rudolph</w:t>
      </w:r>
      <w:r>
        <w:rPr>
          <w:rFonts w:ascii="Garamond" w:hAnsi="Garamond"/>
        </w:rPr>
        <w:t>,</w:t>
      </w:r>
      <w:r w:rsidRPr="002C646E">
        <w:rPr>
          <w:rFonts w:ascii="Garamond" w:hAnsi="Garamond"/>
        </w:rPr>
        <w:t xml:space="preserve"> </w:t>
      </w:r>
      <w:r w:rsidRPr="00A87F7A">
        <w:rPr>
          <w:rFonts w:ascii="Garamond" w:hAnsi="Garamond"/>
          <w:i/>
        </w:rPr>
        <w:t>El espíritu del Derecho Romano en las diversas fases de su desarrollo</w:t>
      </w:r>
      <w:r w:rsidRPr="002C646E">
        <w:rPr>
          <w:rFonts w:ascii="Garamond" w:hAnsi="Garamond"/>
        </w:rPr>
        <w:t xml:space="preserve"> (</w:t>
      </w:r>
      <w:r>
        <w:rPr>
          <w:rFonts w:ascii="Garamond" w:hAnsi="Garamond"/>
        </w:rPr>
        <w:t>1998, trad. cast.</w:t>
      </w:r>
      <w:r w:rsidRPr="002C646E">
        <w:rPr>
          <w:rFonts w:ascii="Garamond" w:hAnsi="Garamond"/>
        </w:rPr>
        <w:t>,</w:t>
      </w:r>
      <w:r>
        <w:rPr>
          <w:rFonts w:ascii="Garamond" w:hAnsi="Garamond"/>
        </w:rPr>
        <w:t xml:space="preserve"> </w:t>
      </w:r>
      <w:r w:rsidRPr="002C646E">
        <w:rPr>
          <w:rFonts w:ascii="Garamond" w:hAnsi="Garamond"/>
        </w:rPr>
        <w:t xml:space="preserve">Granada, </w:t>
      </w:r>
      <w:r>
        <w:rPr>
          <w:rFonts w:ascii="Garamond" w:hAnsi="Garamond"/>
        </w:rPr>
        <w:t xml:space="preserve">2ª edición, </w:t>
      </w:r>
      <w:r w:rsidRPr="00A87F7A">
        <w:rPr>
          <w:rFonts w:ascii="Garamond" w:hAnsi="Garamond"/>
        </w:rPr>
        <w:t>Editorial Comares</w:t>
      </w:r>
      <w:r>
        <w:rPr>
          <w:rFonts w:ascii="Garamond" w:hAnsi="Garamond"/>
        </w:rPr>
        <w:t xml:space="preserve">, </w:t>
      </w:r>
      <w:r w:rsidRPr="002C646E">
        <w:rPr>
          <w:rFonts w:ascii="Garamond" w:hAnsi="Garamond"/>
        </w:rPr>
        <w:t xml:space="preserve">2011). </w:t>
      </w:r>
    </w:p>
    <w:p w:rsidR="00E229F1" w:rsidRPr="002C646E" w:rsidRDefault="00E229F1" w:rsidP="00F56192">
      <w:pPr>
        <w:ind w:left="142" w:hanging="142"/>
        <w:rPr>
          <w:rFonts w:ascii="Garamond" w:hAnsi="Garamond"/>
          <w:lang w:val="en-US"/>
        </w:rPr>
      </w:pPr>
      <w:r w:rsidRPr="00662DB6">
        <w:rPr>
          <w:rFonts w:ascii="Garamond" w:hAnsi="Garamond"/>
          <w:smallCaps/>
          <w:lang w:val="en-US"/>
        </w:rPr>
        <w:t>Watson</w:t>
      </w:r>
      <w:r w:rsidRPr="00662DB6">
        <w:rPr>
          <w:rFonts w:ascii="Garamond" w:hAnsi="Garamond"/>
          <w:lang w:val="en-US"/>
        </w:rPr>
        <w:t>, A.</w:t>
      </w:r>
      <w:r w:rsidRPr="001D6A6B">
        <w:rPr>
          <w:rFonts w:ascii="Garamond" w:hAnsi="Garamond"/>
          <w:lang w:val="en-US"/>
        </w:rPr>
        <w:t xml:space="preserve">, </w:t>
      </w:r>
      <w:r w:rsidRPr="001D6A6B">
        <w:rPr>
          <w:rFonts w:ascii="Garamond" w:hAnsi="Garamond"/>
          <w:i/>
          <w:lang w:val="en-US"/>
        </w:rPr>
        <w:t>The definition of furtum and the trichotomy</w:t>
      </w:r>
      <w:r w:rsidRPr="001D6A6B">
        <w:rPr>
          <w:rFonts w:ascii="Garamond" w:hAnsi="Garamond"/>
          <w:lang w:val="en-US"/>
        </w:rPr>
        <w:t xml:space="preserve">, en </w:t>
      </w:r>
      <w:r w:rsidRPr="001D6A6B">
        <w:rPr>
          <w:rFonts w:ascii="Garamond" w:hAnsi="Garamond"/>
          <w:i/>
          <w:lang w:val="en-US"/>
        </w:rPr>
        <w:t>TR</w:t>
      </w:r>
      <w:r w:rsidRPr="001D6A6B">
        <w:rPr>
          <w:rFonts w:ascii="Garamond" w:hAnsi="Garamond"/>
          <w:lang w:val="en-US"/>
        </w:rPr>
        <w:t xml:space="preserve">, 28 (1960), 2, </w:t>
      </w:r>
      <w:r w:rsidRPr="002C646E">
        <w:rPr>
          <w:rFonts w:ascii="Garamond" w:hAnsi="Garamond"/>
          <w:lang w:val="en-US"/>
        </w:rPr>
        <w:t xml:space="preserve">pp. 197-210. </w:t>
      </w:r>
    </w:p>
    <w:p w:rsidR="00E229F1" w:rsidRPr="002C646E" w:rsidRDefault="00E229F1" w:rsidP="00F56192">
      <w:pPr>
        <w:ind w:left="142" w:hanging="142"/>
        <w:rPr>
          <w:rFonts w:ascii="Garamond" w:hAnsi="Garamond"/>
          <w:lang w:val="en-US"/>
        </w:rPr>
      </w:pPr>
      <w:r w:rsidRPr="00662DB6">
        <w:rPr>
          <w:rFonts w:ascii="Garamond" w:hAnsi="Garamond"/>
          <w:smallCaps/>
          <w:lang w:val="en-US"/>
        </w:rPr>
        <w:t>Zimmermann</w:t>
      </w:r>
      <w:r w:rsidRPr="00662DB6">
        <w:rPr>
          <w:rFonts w:ascii="Garamond" w:hAnsi="Garamond"/>
          <w:lang w:val="en-US"/>
        </w:rPr>
        <w:t>, Reinhard</w:t>
      </w:r>
      <w:r>
        <w:rPr>
          <w:rFonts w:ascii="Garamond" w:hAnsi="Garamond"/>
          <w:lang w:val="en-US"/>
        </w:rPr>
        <w:t>,</w:t>
      </w:r>
      <w:r w:rsidRPr="002C646E">
        <w:rPr>
          <w:rFonts w:ascii="Garamond" w:hAnsi="Garamond"/>
          <w:lang w:val="en-US"/>
        </w:rPr>
        <w:t xml:space="preserve"> </w:t>
      </w:r>
      <w:r w:rsidRPr="00B04A87">
        <w:rPr>
          <w:rFonts w:ascii="Garamond" w:hAnsi="Garamond"/>
          <w:i/>
          <w:lang w:val="en-US"/>
        </w:rPr>
        <w:t>The law of obligations. Roman foundations of the civilian tradition</w:t>
      </w:r>
      <w:r w:rsidRPr="002C646E">
        <w:rPr>
          <w:rFonts w:ascii="Garamond" w:hAnsi="Garamond"/>
          <w:lang w:val="en-US"/>
        </w:rPr>
        <w:t xml:space="preserve"> (Oxford, </w:t>
      </w:r>
      <w:r>
        <w:rPr>
          <w:rFonts w:ascii="Garamond" w:hAnsi="Garamond"/>
          <w:lang w:val="en-US"/>
        </w:rPr>
        <w:t xml:space="preserve">Oxford University Press, </w:t>
      </w:r>
      <w:r w:rsidRPr="002C646E">
        <w:rPr>
          <w:rFonts w:ascii="Garamond" w:hAnsi="Garamond"/>
          <w:lang w:val="en-US"/>
        </w:rPr>
        <w:t xml:space="preserve">1996). </w:t>
      </w:r>
    </w:p>
    <w:p w:rsidR="00AC39E1" w:rsidRPr="00DF108F" w:rsidRDefault="00AC39E1" w:rsidP="00F56192">
      <w:pPr>
        <w:ind w:left="142" w:hanging="142"/>
        <w:rPr>
          <w:rFonts w:ascii="Garamond" w:hAnsi="Garamond"/>
          <w:smallCaps/>
          <w:lang w:val="en-US"/>
        </w:rPr>
      </w:pPr>
    </w:p>
    <w:p w:rsidR="00E229F1" w:rsidRPr="008E3ED7" w:rsidRDefault="00E229F1" w:rsidP="00F56192">
      <w:pPr>
        <w:ind w:left="142" w:hanging="142"/>
        <w:rPr>
          <w:rFonts w:ascii="Garamond" w:hAnsi="Garamond"/>
          <w:smallCaps/>
          <w:lang w:val="es-CL"/>
        </w:rPr>
      </w:pPr>
      <w:r w:rsidRPr="008E3ED7">
        <w:rPr>
          <w:rFonts w:ascii="Garamond" w:hAnsi="Garamond"/>
          <w:smallCaps/>
          <w:lang w:val="es-CL"/>
        </w:rPr>
        <w:t>Fuentes</w:t>
      </w:r>
    </w:p>
    <w:p w:rsidR="00E229F1" w:rsidRPr="00B30086" w:rsidRDefault="00E229F1" w:rsidP="00F56192">
      <w:pPr>
        <w:ind w:left="142" w:hanging="142"/>
        <w:rPr>
          <w:rFonts w:ascii="Garamond" w:hAnsi="Garamond"/>
          <w:lang w:val="es-CL"/>
        </w:rPr>
      </w:pPr>
      <w:r w:rsidRPr="00B30086">
        <w:rPr>
          <w:rFonts w:ascii="Garamond" w:hAnsi="Garamond"/>
          <w:i/>
          <w:lang w:val="es-CL"/>
        </w:rPr>
        <w:t>Anteproyecto de Código Penal</w:t>
      </w:r>
      <w:r w:rsidRPr="00B30086">
        <w:rPr>
          <w:rFonts w:ascii="Garamond" w:hAnsi="Garamond"/>
          <w:lang w:val="es-CL"/>
        </w:rPr>
        <w:t xml:space="preserve"> (2018), en </w:t>
      </w:r>
      <w:r w:rsidR="00BC1810" w:rsidRPr="00BC1810">
        <w:rPr>
          <w:rFonts w:ascii="Garamond" w:hAnsi="Garamond"/>
          <w:lang w:val="es-CL"/>
        </w:rPr>
        <w:t>https://bit.ly/2VZw0Kw</w:t>
      </w:r>
      <w:r w:rsidRPr="00B30086">
        <w:rPr>
          <w:rFonts w:ascii="Garamond" w:hAnsi="Garamond"/>
          <w:lang w:val="es-CL"/>
        </w:rPr>
        <w:t xml:space="preserve"> [última visita 2</w:t>
      </w:r>
      <w:r w:rsidR="00C4486B">
        <w:rPr>
          <w:rFonts w:ascii="Garamond" w:hAnsi="Garamond"/>
          <w:lang w:val="es-CL"/>
        </w:rPr>
        <w:t>3</w:t>
      </w:r>
      <w:r w:rsidRPr="00B30086">
        <w:rPr>
          <w:rFonts w:ascii="Garamond" w:hAnsi="Garamond"/>
          <w:lang w:val="es-CL"/>
        </w:rPr>
        <w:t>/</w:t>
      </w:r>
      <w:r>
        <w:rPr>
          <w:rFonts w:ascii="Garamond" w:hAnsi="Garamond"/>
          <w:lang w:val="es-CL"/>
        </w:rPr>
        <w:t>5</w:t>
      </w:r>
      <w:r w:rsidRPr="00B30086">
        <w:rPr>
          <w:rFonts w:ascii="Garamond" w:hAnsi="Garamond"/>
          <w:lang w:val="es-CL"/>
        </w:rPr>
        <w:t xml:space="preserve">/2019].  </w:t>
      </w:r>
    </w:p>
    <w:p w:rsidR="00E229F1" w:rsidRPr="00B30086" w:rsidRDefault="00E229F1" w:rsidP="00F56192">
      <w:pPr>
        <w:ind w:left="142" w:hanging="142"/>
        <w:rPr>
          <w:rFonts w:ascii="Garamond" w:hAnsi="Garamond"/>
          <w:lang w:val="es-CL"/>
        </w:rPr>
      </w:pPr>
      <w:r w:rsidRPr="00B30086">
        <w:rPr>
          <w:rFonts w:ascii="Garamond" w:hAnsi="Garamond"/>
          <w:i/>
          <w:lang w:val="es-CL"/>
        </w:rPr>
        <w:t>Anteproyecto de Código Penal</w:t>
      </w:r>
      <w:r w:rsidRPr="00B30086">
        <w:rPr>
          <w:rFonts w:ascii="Garamond" w:hAnsi="Garamond"/>
          <w:lang w:val="es-CL"/>
        </w:rPr>
        <w:t xml:space="preserve"> (2015), en </w:t>
      </w:r>
      <w:r w:rsidR="00BC1810" w:rsidRPr="00BC1810">
        <w:rPr>
          <w:rFonts w:ascii="Garamond" w:hAnsi="Garamond"/>
          <w:lang w:val="es-CL"/>
        </w:rPr>
        <w:t xml:space="preserve">https://bit.ly/2JYAPMZ </w:t>
      </w:r>
      <w:r>
        <w:rPr>
          <w:rFonts w:ascii="Garamond" w:hAnsi="Garamond"/>
          <w:lang w:val="es-CL"/>
        </w:rPr>
        <w:t>[última visita 2</w:t>
      </w:r>
      <w:r w:rsidR="00C4486B">
        <w:rPr>
          <w:rFonts w:ascii="Garamond" w:hAnsi="Garamond"/>
          <w:lang w:val="es-CL"/>
        </w:rPr>
        <w:t>3</w:t>
      </w:r>
      <w:r w:rsidRPr="00B30086">
        <w:rPr>
          <w:rFonts w:ascii="Garamond" w:hAnsi="Garamond"/>
          <w:lang w:val="es-CL"/>
        </w:rPr>
        <w:t>/</w:t>
      </w:r>
      <w:r>
        <w:rPr>
          <w:rFonts w:ascii="Garamond" w:hAnsi="Garamond"/>
          <w:lang w:val="es-CL"/>
        </w:rPr>
        <w:t>5</w:t>
      </w:r>
      <w:r w:rsidRPr="00B30086">
        <w:rPr>
          <w:rFonts w:ascii="Garamond" w:hAnsi="Garamond"/>
          <w:lang w:val="es-CL"/>
        </w:rPr>
        <w:t xml:space="preserve">/2019]. </w:t>
      </w:r>
    </w:p>
    <w:p w:rsidR="00E229F1" w:rsidRPr="00B30086" w:rsidRDefault="00E229F1" w:rsidP="00F56192">
      <w:pPr>
        <w:ind w:left="142" w:hanging="142"/>
        <w:rPr>
          <w:rFonts w:ascii="Garamond" w:hAnsi="Garamond"/>
          <w:lang w:val="es-CL"/>
        </w:rPr>
      </w:pPr>
      <w:r w:rsidRPr="00B30086">
        <w:rPr>
          <w:rFonts w:ascii="Garamond" w:hAnsi="Garamond"/>
          <w:i/>
          <w:lang w:val="es-CL"/>
        </w:rPr>
        <w:t>Proyecto de ley que establece un nuevo Código Penal</w:t>
      </w:r>
      <w:r w:rsidRPr="00B30086">
        <w:rPr>
          <w:rFonts w:ascii="Garamond" w:hAnsi="Garamond"/>
          <w:lang w:val="es-CL"/>
        </w:rPr>
        <w:t xml:space="preserve"> (2014), Boletín Nº 9.274-07, en </w:t>
      </w:r>
      <w:r w:rsidR="00BC1810" w:rsidRPr="00BC1810">
        <w:rPr>
          <w:rFonts w:ascii="Garamond" w:hAnsi="Garamond"/>
          <w:lang w:val="es-CL"/>
        </w:rPr>
        <w:t xml:space="preserve">https://bit.ly/2JyUDqN </w:t>
      </w:r>
      <w:r>
        <w:rPr>
          <w:rFonts w:ascii="Garamond" w:hAnsi="Garamond"/>
          <w:lang w:val="es-CL"/>
        </w:rPr>
        <w:t>[última visita 2</w:t>
      </w:r>
      <w:r w:rsidR="00C4486B">
        <w:rPr>
          <w:rFonts w:ascii="Garamond" w:hAnsi="Garamond"/>
          <w:lang w:val="es-CL"/>
        </w:rPr>
        <w:t>3</w:t>
      </w:r>
      <w:r>
        <w:rPr>
          <w:rFonts w:ascii="Garamond" w:hAnsi="Garamond"/>
          <w:lang w:val="es-CL"/>
        </w:rPr>
        <w:t>/5</w:t>
      </w:r>
      <w:r w:rsidRPr="00B30086">
        <w:rPr>
          <w:rFonts w:ascii="Garamond" w:hAnsi="Garamond"/>
          <w:lang w:val="es-CL"/>
        </w:rPr>
        <w:t xml:space="preserve">/2019].  </w:t>
      </w:r>
    </w:p>
    <w:p w:rsidR="00E229F1" w:rsidRPr="00B30086" w:rsidRDefault="00E229F1" w:rsidP="00F56192">
      <w:pPr>
        <w:ind w:left="142" w:hanging="142"/>
        <w:rPr>
          <w:rFonts w:ascii="Garamond" w:hAnsi="Garamond"/>
          <w:lang w:val="es-CL"/>
        </w:rPr>
      </w:pPr>
      <w:r w:rsidRPr="00B30086">
        <w:rPr>
          <w:rFonts w:ascii="Garamond" w:hAnsi="Garamond"/>
          <w:i/>
          <w:lang w:val="es-CL"/>
        </w:rPr>
        <w:t>Anteproyecto de Código Penal</w:t>
      </w:r>
      <w:r w:rsidRPr="00B30086">
        <w:rPr>
          <w:rFonts w:ascii="Garamond" w:hAnsi="Garamond"/>
          <w:lang w:val="es-CL"/>
        </w:rPr>
        <w:t xml:space="preserve"> (2013), en </w:t>
      </w:r>
      <w:r w:rsidR="00A40BDE" w:rsidRPr="00A40BDE">
        <w:rPr>
          <w:rFonts w:ascii="Garamond" w:hAnsi="Garamond"/>
          <w:lang w:val="es-CL"/>
        </w:rPr>
        <w:t xml:space="preserve">https://bit.ly/2HxjCbG </w:t>
      </w:r>
      <w:r>
        <w:rPr>
          <w:rFonts w:ascii="Garamond" w:hAnsi="Garamond"/>
          <w:lang w:val="es-CL"/>
        </w:rPr>
        <w:t>[última visita 2</w:t>
      </w:r>
      <w:r w:rsidR="00C4486B">
        <w:rPr>
          <w:rFonts w:ascii="Garamond" w:hAnsi="Garamond"/>
          <w:lang w:val="es-CL"/>
        </w:rPr>
        <w:t>3</w:t>
      </w:r>
      <w:r>
        <w:rPr>
          <w:rFonts w:ascii="Garamond" w:hAnsi="Garamond"/>
          <w:lang w:val="es-CL"/>
        </w:rPr>
        <w:t>/5</w:t>
      </w:r>
      <w:r w:rsidRPr="00B30086">
        <w:rPr>
          <w:rFonts w:ascii="Garamond" w:hAnsi="Garamond"/>
          <w:lang w:val="es-CL"/>
        </w:rPr>
        <w:t xml:space="preserve">/2019].  </w:t>
      </w:r>
    </w:p>
    <w:p w:rsidR="00E229F1" w:rsidRPr="00443DF8" w:rsidRDefault="00E229F1" w:rsidP="00F56192">
      <w:pPr>
        <w:ind w:left="142" w:hanging="142"/>
        <w:rPr>
          <w:rFonts w:ascii="Garamond" w:hAnsi="Garamond"/>
          <w:lang w:val="es-CL"/>
        </w:rPr>
      </w:pPr>
      <w:r w:rsidRPr="00443DF8">
        <w:rPr>
          <w:rFonts w:ascii="Garamond" w:hAnsi="Garamond"/>
          <w:smallCaps/>
          <w:lang w:val="es-CL"/>
        </w:rPr>
        <w:t xml:space="preserve">Comisión Foro Penal del Ministerio de Justicia, </w:t>
      </w:r>
      <w:r w:rsidRPr="00B30086">
        <w:rPr>
          <w:rFonts w:ascii="Garamond" w:hAnsi="Garamond"/>
          <w:i/>
          <w:lang w:val="es-CL"/>
        </w:rPr>
        <w:t>Anteproyecto de nuevo Código Penal</w:t>
      </w:r>
      <w:r>
        <w:rPr>
          <w:rFonts w:ascii="Garamond" w:hAnsi="Garamond"/>
          <w:lang w:val="es-CL"/>
        </w:rPr>
        <w:t xml:space="preserve">, 2005, en </w:t>
      </w:r>
      <w:r w:rsidR="00BC1810" w:rsidRPr="00BC1810">
        <w:rPr>
          <w:rFonts w:ascii="Garamond" w:hAnsi="Garamond"/>
          <w:lang w:val="es-CL"/>
        </w:rPr>
        <w:t>https://bit.ly/2JDqmXJ</w:t>
      </w:r>
      <w:r>
        <w:rPr>
          <w:rFonts w:ascii="Garamond" w:hAnsi="Garamond"/>
          <w:lang w:val="es-CL"/>
        </w:rPr>
        <w:t xml:space="preserve"> [última visita 2</w:t>
      </w:r>
      <w:r w:rsidR="00C4486B">
        <w:rPr>
          <w:rFonts w:ascii="Garamond" w:hAnsi="Garamond"/>
          <w:lang w:val="es-CL"/>
        </w:rPr>
        <w:t>3</w:t>
      </w:r>
      <w:r>
        <w:rPr>
          <w:rFonts w:ascii="Garamond" w:hAnsi="Garamond"/>
          <w:lang w:val="es-CL"/>
        </w:rPr>
        <w:t xml:space="preserve">/5/2019]. </w:t>
      </w:r>
    </w:p>
    <w:p w:rsidR="003311B2" w:rsidRPr="000C3C7F" w:rsidRDefault="00E229F1" w:rsidP="00F56192">
      <w:pPr>
        <w:ind w:left="142" w:hanging="142"/>
        <w:rPr>
          <w:lang w:val="it-IT"/>
        </w:rPr>
      </w:pPr>
      <w:r w:rsidRPr="00EB13D9">
        <w:rPr>
          <w:rFonts w:ascii="Garamond" w:hAnsi="Garamond"/>
          <w:i/>
          <w:lang w:val="it-IT"/>
        </w:rPr>
        <w:t xml:space="preserve">Codice per lo regno delle </w:t>
      </w:r>
      <w:r>
        <w:rPr>
          <w:rFonts w:ascii="Garamond" w:hAnsi="Garamond"/>
          <w:i/>
          <w:lang w:val="it-IT"/>
        </w:rPr>
        <w:t>D</w:t>
      </w:r>
      <w:r w:rsidRPr="00EB13D9">
        <w:rPr>
          <w:rFonts w:ascii="Garamond" w:hAnsi="Garamond"/>
          <w:i/>
          <w:lang w:val="it-IT"/>
        </w:rPr>
        <w:t xml:space="preserve">ue </w:t>
      </w:r>
      <w:r>
        <w:rPr>
          <w:rFonts w:ascii="Garamond" w:hAnsi="Garamond"/>
          <w:i/>
          <w:lang w:val="it-IT"/>
        </w:rPr>
        <w:t>S</w:t>
      </w:r>
      <w:r w:rsidRPr="00EB13D9">
        <w:rPr>
          <w:rFonts w:ascii="Garamond" w:hAnsi="Garamond"/>
          <w:i/>
          <w:lang w:val="it-IT"/>
        </w:rPr>
        <w:t>icilie. Parte seconda. leggi penali</w:t>
      </w:r>
      <w:r w:rsidRPr="00EB13D9">
        <w:rPr>
          <w:rFonts w:ascii="Garamond" w:hAnsi="Garamond"/>
          <w:smallCaps/>
          <w:lang w:val="it-IT"/>
        </w:rPr>
        <w:t xml:space="preserve">. </w:t>
      </w:r>
      <w:r w:rsidRPr="00EB13D9">
        <w:rPr>
          <w:rFonts w:ascii="Garamond" w:hAnsi="Garamond"/>
          <w:lang w:val="it-IT"/>
        </w:rPr>
        <w:t>Seconda edizione uffiziale, Napoli,</w:t>
      </w:r>
      <w:r w:rsidRPr="000C3C7F">
        <w:rPr>
          <w:rFonts w:ascii="Garamond" w:hAnsi="Garamond"/>
          <w:lang w:val="it-IT"/>
        </w:rPr>
        <w:t xml:space="preserve"> 1919, en </w:t>
      </w:r>
      <w:r w:rsidR="00F32B95" w:rsidRPr="00F32B95">
        <w:rPr>
          <w:rFonts w:ascii="Garamond" w:hAnsi="Garamond"/>
          <w:lang w:val="it-IT"/>
        </w:rPr>
        <w:t xml:space="preserve">https://bit.ly/30EWGyX </w:t>
      </w:r>
      <w:r w:rsidR="00C4486B">
        <w:rPr>
          <w:rFonts w:ascii="Garamond" w:hAnsi="Garamond"/>
          <w:lang w:val="it-IT"/>
        </w:rPr>
        <w:t>[última visita 23</w:t>
      </w:r>
      <w:r w:rsidRPr="000C3C7F">
        <w:rPr>
          <w:rFonts w:ascii="Garamond" w:hAnsi="Garamond"/>
          <w:lang w:val="it-IT"/>
        </w:rPr>
        <w:t xml:space="preserve">/5/2019]. </w:t>
      </w:r>
    </w:p>
    <w:sectPr w:rsidR="003311B2" w:rsidRPr="000C3C7F" w:rsidSect="00D77B9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B7" w:rsidRDefault="00DF74B7" w:rsidP="00E229F1">
      <w:r>
        <w:separator/>
      </w:r>
    </w:p>
  </w:endnote>
  <w:endnote w:type="continuationSeparator" w:id="0">
    <w:p w:rsidR="00DF74B7" w:rsidRDefault="00DF74B7" w:rsidP="00E2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1894"/>
      <w:docPartObj>
        <w:docPartGallery w:val="Page Numbers (Bottom of Page)"/>
        <w:docPartUnique/>
      </w:docPartObj>
    </w:sdtPr>
    <w:sdtEndPr/>
    <w:sdtContent>
      <w:p w:rsidR="00306473" w:rsidRDefault="00306473">
        <w:pPr>
          <w:pStyle w:val="Piedepgina"/>
          <w:jc w:val="right"/>
        </w:pPr>
        <w:r>
          <w:fldChar w:fldCharType="begin"/>
        </w:r>
        <w:r>
          <w:instrText>PAGE   \* MERGEFORMAT</w:instrText>
        </w:r>
        <w:r>
          <w:fldChar w:fldCharType="separate"/>
        </w:r>
        <w:r w:rsidR="00F36D62" w:rsidRPr="00F36D62">
          <w:rPr>
            <w:noProof/>
            <w:lang w:val="es-ES"/>
          </w:rPr>
          <w:t>20</w:t>
        </w:r>
        <w:r>
          <w:fldChar w:fldCharType="end"/>
        </w:r>
      </w:p>
    </w:sdtContent>
  </w:sdt>
  <w:p w:rsidR="00306473" w:rsidRDefault="003064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B7" w:rsidRDefault="00DF74B7" w:rsidP="00E229F1">
      <w:r>
        <w:separator/>
      </w:r>
    </w:p>
  </w:footnote>
  <w:footnote w:type="continuationSeparator" w:id="0">
    <w:p w:rsidR="00DF74B7" w:rsidRDefault="00DF74B7" w:rsidP="00E229F1">
      <w:r>
        <w:continuationSeparator/>
      </w:r>
    </w:p>
  </w:footnote>
  <w:footnote w:id="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La expresión es de </w:t>
      </w:r>
      <w:r w:rsidRPr="00F36D62">
        <w:rPr>
          <w:rFonts w:ascii="Garamond" w:hAnsi="Garamond"/>
          <w:smallCaps/>
        </w:rPr>
        <w:t>Matus</w:t>
      </w:r>
      <w:r w:rsidRPr="00F36D62">
        <w:rPr>
          <w:rFonts w:ascii="Garamond" w:hAnsi="Garamond"/>
        </w:rPr>
        <w:t xml:space="preserve">, Jean Pierre, </w:t>
      </w:r>
      <w:r w:rsidRPr="00F36D62">
        <w:rPr>
          <w:rFonts w:ascii="Garamond" w:hAnsi="Garamond"/>
          <w:i/>
        </w:rPr>
        <w:t>La doctrina penal de la (fallida) recodificación chilena del Siglo XX y principios del Siglo XXI</w:t>
      </w:r>
      <w:r w:rsidRPr="00F36D62">
        <w:rPr>
          <w:rFonts w:ascii="Garamond" w:hAnsi="Garamond"/>
        </w:rPr>
        <w:t xml:space="preserve">, en </w:t>
      </w:r>
      <w:r w:rsidRPr="00F36D62">
        <w:rPr>
          <w:rFonts w:ascii="Garamond" w:hAnsi="Garamond"/>
          <w:i/>
        </w:rPr>
        <w:t>Política Criminal</w:t>
      </w:r>
      <w:r w:rsidRPr="00F36D62">
        <w:rPr>
          <w:rFonts w:ascii="Garamond" w:hAnsi="Garamond"/>
        </w:rPr>
        <w:t xml:space="preserve">, 5, (2010), 9, pp. 143-206. </w:t>
      </w:r>
    </w:p>
  </w:footnote>
  <w:footnote w:id="2">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Según el inciso primero del artículo 64 del Código Penal chileno, “</w:t>
      </w:r>
      <w:r w:rsidRPr="00F36D62">
        <w:rPr>
          <w:rFonts w:ascii="Garamond" w:hAnsi="Garamond"/>
          <w:i/>
        </w:rPr>
        <w:t>[l]as circunstancias atenuantes o agravantes que consistan en la disposición moral del delincuente, en sus relaciones particulares con el ofendido o en otra causa personal, servirán para atenuar o agravar la responsabilidad de sólo aquellos autores, cómplices o encubridores en quienes concurran.</w:t>
      </w:r>
      <w:r w:rsidRPr="00F36D62">
        <w:rPr>
          <w:rFonts w:ascii="Garamond" w:hAnsi="Garamond"/>
        </w:rPr>
        <w:t>” El inciso final establece que “</w:t>
      </w:r>
      <w:r w:rsidRPr="00F36D62">
        <w:rPr>
          <w:rFonts w:ascii="Garamond" w:hAnsi="Garamond"/>
          <w:i/>
        </w:rPr>
        <w:t>[l]as que consistan en la ejecución material del hecho o en los medios empleados para realizarlo, servirán para atenuar o agravar la responsabilidad únicamente de los que tuvieren conocimiento de ellas antes o en el momento de la acción o de su cooperación para el delito.</w:t>
      </w:r>
      <w:r w:rsidRPr="00F36D62">
        <w:rPr>
          <w:rFonts w:ascii="Garamond" w:hAnsi="Garamond"/>
        </w:rPr>
        <w:t>”</w:t>
      </w:r>
    </w:p>
  </w:footnote>
  <w:footnote w:id="3">
    <w:p w:rsidR="00306473" w:rsidRPr="00F36D62" w:rsidRDefault="00306473" w:rsidP="00E229F1">
      <w:pPr>
        <w:pStyle w:val="Textonotapie"/>
        <w:rPr>
          <w:rFonts w:ascii="Garamond" w:hAnsi="Garamond"/>
          <w:smallCaps/>
        </w:rPr>
      </w:pPr>
      <w:r w:rsidRPr="00F36D62">
        <w:rPr>
          <w:rStyle w:val="Refdenotaalpie"/>
          <w:rFonts w:ascii="Garamond" w:hAnsi="Garamond"/>
        </w:rPr>
        <w:footnoteRef/>
      </w:r>
      <w:r w:rsidRPr="00F36D62">
        <w:rPr>
          <w:rFonts w:ascii="Garamond" w:hAnsi="Garamond"/>
        </w:rPr>
        <w:t xml:space="preserve"> Cf. </w:t>
      </w:r>
      <w:r w:rsidRPr="00F36D62">
        <w:rPr>
          <w:rFonts w:ascii="Garamond" w:hAnsi="Garamond"/>
          <w:smallCaps/>
        </w:rPr>
        <w:t>Couso</w:t>
      </w:r>
      <w:r w:rsidRPr="00F36D62">
        <w:rPr>
          <w:rFonts w:ascii="Garamond" w:hAnsi="Garamond"/>
        </w:rPr>
        <w:t xml:space="preserve">, Javier, </w:t>
      </w:r>
      <w:r w:rsidRPr="00F36D62">
        <w:rPr>
          <w:rFonts w:ascii="Garamond" w:hAnsi="Garamond"/>
          <w:i/>
        </w:rPr>
        <w:t>Comentario</w:t>
      </w:r>
      <w:r w:rsidRPr="00F36D62">
        <w:rPr>
          <w:rFonts w:ascii="Garamond" w:hAnsi="Garamond"/>
        </w:rPr>
        <w:t xml:space="preserve">, en </w:t>
      </w:r>
      <w:r w:rsidRPr="00F36D62">
        <w:rPr>
          <w:rFonts w:ascii="Garamond" w:hAnsi="Garamond"/>
          <w:smallCaps/>
        </w:rPr>
        <w:t>Couso</w:t>
      </w:r>
      <w:r w:rsidRPr="00F36D62">
        <w:rPr>
          <w:rFonts w:ascii="Garamond" w:hAnsi="Garamond"/>
        </w:rPr>
        <w:t xml:space="preserve"> </w:t>
      </w:r>
      <w:r w:rsidRPr="00F36D62">
        <w:rPr>
          <w:rFonts w:ascii="Garamond" w:hAnsi="Garamond"/>
          <w:smallCaps/>
        </w:rPr>
        <w:t>Salas</w:t>
      </w:r>
      <w:r w:rsidRPr="00F36D62">
        <w:rPr>
          <w:rFonts w:ascii="Garamond" w:hAnsi="Garamond"/>
        </w:rPr>
        <w:t xml:space="preserve">, Javier y </w:t>
      </w:r>
      <w:r w:rsidRPr="00F36D62">
        <w:rPr>
          <w:rFonts w:ascii="Garamond" w:hAnsi="Garamond"/>
          <w:smallCaps/>
        </w:rPr>
        <w:t>Hernández</w:t>
      </w:r>
      <w:r w:rsidRPr="00F36D62">
        <w:rPr>
          <w:rFonts w:ascii="Garamond" w:hAnsi="Garamond"/>
        </w:rPr>
        <w:t xml:space="preserve"> </w:t>
      </w:r>
      <w:r w:rsidRPr="00F36D62">
        <w:rPr>
          <w:rFonts w:ascii="Garamond" w:hAnsi="Garamond"/>
          <w:smallCaps/>
        </w:rPr>
        <w:t>Basualto</w:t>
      </w:r>
      <w:r w:rsidRPr="00F36D62">
        <w:rPr>
          <w:rFonts w:ascii="Garamond" w:hAnsi="Garamond"/>
        </w:rPr>
        <w:t xml:space="preserve">, Héctor (directores), </w:t>
      </w:r>
      <w:r w:rsidRPr="00F36D62">
        <w:rPr>
          <w:rFonts w:ascii="Garamond" w:hAnsi="Garamond"/>
          <w:i/>
        </w:rPr>
        <w:t>Código Penal comentado. Parte general. Doctrina y jurisprudencia</w:t>
      </w:r>
      <w:r w:rsidRPr="00F36D62">
        <w:rPr>
          <w:rFonts w:ascii="Garamond" w:hAnsi="Garamond"/>
        </w:rPr>
        <w:t xml:space="preserve"> (Santiago, Legal Publishing, 2011), p. 579; </w:t>
      </w:r>
      <w:r w:rsidRPr="00F36D62">
        <w:rPr>
          <w:rFonts w:ascii="Garamond" w:hAnsi="Garamond"/>
          <w:smallCaps/>
        </w:rPr>
        <w:t>Cury</w:t>
      </w:r>
      <w:r w:rsidRPr="00F36D62">
        <w:rPr>
          <w:rFonts w:ascii="Garamond" w:hAnsi="Garamond"/>
        </w:rPr>
        <w:t xml:space="preserve"> </w:t>
      </w:r>
      <w:r w:rsidRPr="00F36D62">
        <w:rPr>
          <w:rFonts w:ascii="Garamond" w:hAnsi="Garamond"/>
          <w:smallCaps/>
        </w:rPr>
        <w:t>Urzúa</w:t>
      </w:r>
      <w:r w:rsidRPr="00F36D62">
        <w:rPr>
          <w:rFonts w:ascii="Garamond" w:hAnsi="Garamond"/>
        </w:rPr>
        <w:t xml:space="preserve">, Enrique, </w:t>
      </w:r>
      <w:r w:rsidRPr="00F36D62">
        <w:rPr>
          <w:rFonts w:ascii="Garamond" w:hAnsi="Garamond"/>
          <w:i/>
        </w:rPr>
        <w:t>Derecho Penal. Parte general</w:t>
      </w:r>
      <w:r w:rsidRPr="00F36D62">
        <w:rPr>
          <w:rFonts w:ascii="Garamond" w:hAnsi="Garamond"/>
        </w:rPr>
        <w:t xml:space="preserve"> (1982, 10ª edición, Santiago, Ediciones Universidad Católica de Chile, 2011), p. 646; </w:t>
      </w:r>
      <w:r w:rsidRPr="00F36D62">
        <w:rPr>
          <w:rFonts w:ascii="Garamond" w:hAnsi="Garamond"/>
          <w:smallCaps/>
        </w:rPr>
        <w:t>Cury</w:t>
      </w:r>
      <w:r w:rsidRPr="00F36D62">
        <w:rPr>
          <w:rFonts w:ascii="Garamond" w:hAnsi="Garamond"/>
        </w:rPr>
        <w:t xml:space="preserve"> </w:t>
      </w:r>
      <w:r w:rsidRPr="00F36D62">
        <w:rPr>
          <w:rFonts w:ascii="Garamond" w:hAnsi="Garamond"/>
          <w:smallCaps/>
        </w:rPr>
        <w:t>Urzúa</w:t>
      </w:r>
      <w:r w:rsidRPr="00F36D62">
        <w:rPr>
          <w:rFonts w:ascii="Garamond" w:hAnsi="Garamond"/>
        </w:rPr>
        <w:t xml:space="preserve">, Enrique y </w:t>
      </w:r>
      <w:r w:rsidRPr="00F36D62">
        <w:rPr>
          <w:rFonts w:ascii="Garamond" w:hAnsi="Garamond"/>
          <w:smallCaps/>
        </w:rPr>
        <w:t>Matus</w:t>
      </w:r>
      <w:r w:rsidRPr="00F36D62">
        <w:rPr>
          <w:rFonts w:ascii="Garamond" w:hAnsi="Garamond"/>
        </w:rPr>
        <w:t xml:space="preserve"> </w:t>
      </w:r>
      <w:r w:rsidRPr="00F36D62">
        <w:rPr>
          <w:rFonts w:ascii="Garamond" w:hAnsi="Garamond"/>
          <w:smallCaps/>
        </w:rPr>
        <w:t>Acuña</w:t>
      </w:r>
      <w:r w:rsidRPr="00F36D62">
        <w:rPr>
          <w:rFonts w:ascii="Garamond" w:hAnsi="Garamond"/>
        </w:rPr>
        <w:t xml:space="preserve">, Jean Pierre (colaborador), </w:t>
      </w:r>
      <w:r w:rsidRPr="00F36D62">
        <w:rPr>
          <w:rFonts w:ascii="Garamond" w:hAnsi="Garamond"/>
          <w:i/>
        </w:rPr>
        <w:t>Comentario al art. 14 y comentario preliminar a los artículos 15 y 17. El concurso de personas en el delito</w:t>
      </w:r>
      <w:r w:rsidRPr="00F36D62">
        <w:rPr>
          <w:rFonts w:ascii="Garamond" w:hAnsi="Garamond"/>
        </w:rPr>
        <w:t xml:space="preserve">, en </w:t>
      </w:r>
      <w:r w:rsidRPr="00F36D62">
        <w:rPr>
          <w:rFonts w:ascii="Garamond" w:hAnsi="Garamond"/>
          <w:smallCaps/>
        </w:rPr>
        <w:t>Politoff</w:t>
      </w:r>
      <w:r w:rsidRPr="00F36D62">
        <w:rPr>
          <w:rFonts w:ascii="Garamond" w:hAnsi="Garamond"/>
        </w:rPr>
        <w:t xml:space="preserve"> </w:t>
      </w:r>
      <w:r w:rsidRPr="00F36D62">
        <w:rPr>
          <w:rFonts w:ascii="Garamond" w:hAnsi="Garamond"/>
          <w:smallCaps/>
        </w:rPr>
        <w:t>Lifschitz</w:t>
      </w:r>
      <w:r w:rsidRPr="00F36D62">
        <w:rPr>
          <w:rFonts w:ascii="Garamond" w:hAnsi="Garamond"/>
        </w:rPr>
        <w:t xml:space="preserve">, Sergio y </w:t>
      </w:r>
      <w:r w:rsidRPr="00F36D62">
        <w:rPr>
          <w:rFonts w:ascii="Garamond" w:hAnsi="Garamond"/>
          <w:smallCaps/>
        </w:rPr>
        <w:t>Ortiz</w:t>
      </w:r>
      <w:r w:rsidRPr="00F36D62">
        <w:rPr>
          <w:rFonts w:ascii="Garamond" w:hAnsi="Garamond"/>
        </w:rPr>
        <w:t xml:space="preserve"> </w:t>
      </w:r>
      <w:r w:rsidRPr="00F36D62">
        <w:rPr>
          <w:rFonts w:ascii="Garamond" w:hAnsi="Garamond"/>
          <w:smallCaps/>
        </w:rPr>
        <w:t>Quiroga</w:t>
      </w:r>
      <w:r w:rsidRPr="00F36D62">
        <w:rPr>
          <w:rFonts w:ascii="Garamond" w:hAnsi="Garamond"/>
        </w:rPr>
        <w:t xml:space="preserve">, Luis (directores), </w:t>
      </w:r>
      <w:r w:rsidRPr="00F36D62">
        <w:rPr>
          <w:rFonts w:ascii="Garamond" w:hAnsi="Garamond"/>
          <w:i/>
        </w:rPr>
        <w:t>Texto y comentario del Código Penal chileno</w:t>
      </w:r>
      <w:r w:rsidRPr="00F36D62">
        <w:rPr>
          <w:rFonts w:ascii="Garamond" w:hAnsi="Garamond"/>
        </w:rPr>
        <w:t xml:space="preserve">, I: </w:t>
      </w:r>
      <w:r w:rsidRPr="00F36D62">
        <w:rPr>
          <w:rFonts w:ascii="Garamond" w:hAnsi="Garamond"/>
          <w:i/>
        </w:rPr>
        <w:t>Libro primero. Parte general</w:t>
      </w:r>
      <w:r w:rsidRPr="00F36D62">
        <w:rPr>
          <w:rFonts w:ascii="Garamond" w:hAnsi="Garamond"/>
        </w:rPr>
        <w:t xml:space="preserve"> (reimp. 2016, Santiago, Editorial Jurídica de Chile, 2002), p. 234; </w:t>
      </w:r>
      <w:r w:rsidRPr="00F36D62">
        <w:rPr>
          <w:rFonts w:ascii="Garamond" w:hAnsi="Garamond"/>
          <w:smallCaps/>
        </w:rPr>
        <w:t>Etcheberry</w:t>
      </w:r>
      <w:r w:rsidRPr="00F36D62">
        <w:rPr>
          <w:rFonts w:ascii="Garamond" w:hAnsi="Garamond"/>
        </w:rPr>
        <w:t xml:space="preserve">, Alfredo, </w:t>
      </w:r>
      <w:r w:rsidRPr="00F36D62">
        <w:rPr>
          <w:rFonts w:ascii="Garamond" w:hAnsi="Garamond"/>
          <w:i/>
        </w:rPr>
        <w:t>Derecho Penal</w:t>
      </w:r>
      <w:r w:rsidRPr="00F36D62">
        <w:rPr>
          <w:rFonts w:ascii="Garamond" w:hAnsi="Garamond"/>
        </w:rPr>
        <w:t xml:space="preserve">, II: </w:t>
      </w:r>
      <w:r w:rsidRPr="00F36D62">
        <w:rPr>
          <w:rFonts w:ascii="Garamond" w:hAnsi="Garamond"/>
          <w:i/>
        </w:rPr>
        <w:t>Parte general</w:t>
      </w:r>
      <w:r w:rsidRPr="00F36D62">
        <w:rPr>
          <w:rFonts w:ascii="Garamond" w:hAnsi="Garamond"/>
        </w:rPr>
        <w:t xml:space="preserve">, (1964, reimp. 2010, 3ª edición, Santiago, Editorial Jurídica de Chile, 1998), p. 82; </w:t>
      </w:r>
      <w:r w:rsidRPr="00F36D62">
        <w:rPr>
          <w:rFonts w:ascii="Garamond" w:hAnsi="Garamond"/>
          <w:smallCaps/>
        </w:rPr>
        <w:t>Garrido</w:t>
      </w:r>
      <w:r w:rsidRPr="00F36D62">
        <w:rPr>
          <w:rFonts w:ascii="Garamond" w:hAnsi="Garamond"/>
        </w:rPr>
        <w:t xml:space="preserve"> </w:t>
      </w:r>
      <w:r w:rsidRPr="00F36D62">
        <w:rPr>
          <w:rFonts w:ascii="Garamond" w:hAnsi="Garamond"/>
          <w:smallCaps/>
        </w:rPr>
        <w:t>Montt</w:t>
      </w:r>
      <w:r w:rsidRPr="00F36D62">
        <w:rPr>
          <w:rFonts w:ascii="Garamond" w:hAnsi="Garamond"/>
        </w:rPr>
        <w:t xml:space="preserve">, Mario, </w:t>
      </w:r>
      <w:r w:rsidRPr="00F36D62">
        <w:rPr>
          <w:rFonts w:ascii="Garamond" w:hAnsi="Garamond"/>
          <w:i/>
        </w:rPr>
        <w:t>Derecho Penal</w:t>
      </w:r>
      <w:r w:rsidRPr="00F36D62">
        <w:rPr>
          <w:rFonts w:ascii="Garamond" w:hAnsi="Garamond"/>
        </w:rPr>
        <w:t xml:space="preserve">, II: </w:t>
      </w:r>
      <w:r w:rsidRPr="00F36D62">
        <w:rPr>
          <w:rFonts w:ascii="Garamond" w:hAnsi="Garamond"/>
          <w:i/>
        </w:rPr>
        <w:t>Parte general. Nociones fundamentales de la teoría del delito</w:t>
      </w:r>
      <w:r w:rsidRPr="00F36D62">
        <w:rPr>
          <w:rFonts w:ascii="Garamond" w:hAnsi="Garamond"/>
        </w:rPr>
        <w:t xml:space="preserve">, (reimp., 4ª edición, Santiago, Editorial Jurídica de Chile, 2007), p. 431; </w:t>
      </w:r>
      <w:r w:rsidRPr="00F36D62">
        <w:rPr>
          <w:rFonts w:ascii="Garamond" w:hAnsi="Garamond"/>
          <w:smallCaps/>
        </w:rPr>
        <w:t>Labatut Glena</w:t>
      </w:r>
      <w:r w:rsidRPr="00F36D62">
        <w:rPr>
          <w:rFonts w:ascii="Garamond" w:hAnsi="Garamond"/>
        </w:rPr>
        <w:t xml:space="preserve">, Gustavo, </w:t>
      </w:r>
      <w:r w:rsidRPr="00F36D62">
        <w:rPr>
          <w:rFonts w:ascii="Garamond" w:hAnsi="Garamond"/>
          <w:i/>
        </w:rPr>
        <w:t>Derecho Penal</w:t>
      </w:r>
      <w:r w:rsidRPr="00F36D62">
        <w:rPr>
          <w:rFonts w:ascii="Garamond" w:hAnsi="Garamond"/>
        </w:rPr>
        <w:t xml:space="preserve">, I, (1951, actualizada por Julio Zenteno Vargas, reimp. 2005, séptima edición, Santiago, Editorial Jurídica de Chile, 1989), p. 195; </w:t>
      </w:r>
      <w:r w:rsidRPr="00F36D62">
        <w:rPr>
          <w:rFonts w:ascii="Garamond" w:hAnsi="Garamond"/>
          <w:smallCaps/>
        </w:rPr>
        <w:t>Leiva</w:t>
      </w:r>
      <w:r w:rsidRPr="00F36D62">
        <w:rPr>
          <w:rFonts w:ascii="Garamond" w:hAnsi="Garamond"/>
        </w:rPr>
        <w:t xml:space="preserve"> </w:t>
      </w:r>
      <w:r w:rsidRPr="00F36D62">
        <w:rPr>
          <w:rFonts w:ascii="Garamond" w:hAnsi="Garamond"/>
          <w:smallCaps/>
        </w:rPr>
        <w:t>López</w:t>
      </w:r>
      <w:r w:rsidRPr="00F36D62">
        <w:rPr>
          <w:rFonts w:ascii="Garamond" w:hAnsi="Garamond"/>
        </w:rPr>
        <w:t xml:space="preserve">, Alejandro, </w:t>
      </w:r>
      <w:r w:rsidRPr="00F36D62">
        <w:rPr>
          <w:rFonts w:ascii="Garamond" w:hAnsi="Garamond"/>
          <w:i/>
        </w:rPr>
        <w:t>La comunicabilidad en el Derecho penal chileno a partir de su interpretación práctica. Mirada crítica a su formulación como ‘principio del Derecho</w:t>
      </w:r>
      <w:r w:rsidRPr="00F36D62">
        <w:rPr>
          <w:rFonts w:ascii="Garamond" w:hAnsi="Garamond"/>
        </w:rPr>
        <w:t xml:space="preserve">, en </w:t>
      </w:r>
      <w:r w:rsidRPr="00F36D62">
        <w:rPr>
          <w:rFonts w:ascii="Garamond" w:hAnsi="Garamond"/>
          <w:i/>
        </w:rPr>
        <w:t>Revista de Derecho de la Pontificia Universidad Católica de Valparaíso,</w:t>
      </w:r>
      <w:r w:rsidRPr="00F36D62">
        <w:rPr>
          <w:rFonts w:ascii="Garamond" w:hAnsi="Garamond"/>
        </w:rPr>
        <w:t xml:space="preserve"> XLIX, (2017), p. 227 y </w:t>
      </w:r>
      <w:r w:rsidRPr="00F36D62">
        <w:rPr>
          <w:rFonts w:ascii="Garamond" w:hAnsi="Garamond"/>
          <w:i/>
        </w:rPr>
        <w:t>passim</w:t>
      </w:r>
      <w:r w:rsidRPr="00F36D62">
        <w:rPr>
          <w:rFonts w:ascii="Garamond" w:hAnsi="Garamond"/>
        </w:rPr>
        <w:t xml:space="preserve">; </w:t>
      </w:r>
      <w:r w:rsidRPr="00F36D62">
        <w:rPr>
          <w:rFonts w:ascii="Garamond" w:hAnsi="Garamond"/>
          <w:smallCaps/>
        </w:rPr>
        <w:t>Matus</w:t>
      </w:r>
      <w:r w:rsidRPr="00F36D62">
        <w:rPr>
          <w:rFonts w:ascii="Garamond" w:hAnsi="Garamond"/>
        </w:rPr>
        <w:t xml:space="preserve"> </w:t>
      </w:r>
      <w:r w:rsidRPr="00F36D62">
        <w:rPr>
          <w:rFonts w:ascii="Garamond" w:hAnsi="Garamond"/>
          <w:smallCaps/>
        </w:rPr>
        <w:t>Acuña</w:t>
      </w:r>
      <w:r w:rsidRPr="00F36D62">
        <w:rPr>
          <w:rFonts w:ascii="Garamond" w:hAnsi="Garamond"/>
        </w:rPr>
        <w:t xml:space="preserve">, Jean Pierre y </w:t>
      </w:r>
      <w:r w:rsidRPr="00F36D62">
        <w:rPr>
          <w:rFonts w:ascii="Garamond" w:hAnsi="Garamond"/>
          <w:smallCaps/>
        </w:rPr>
        <w:t>Van</w:t>
      </w:r>
      <w:r w:rsidRPr="00F36D62">
        <w:rPr>
          <w:rFonts w:ascii="Garamond" w:hAnsi="Garamond"/>
        </w:rPr>
        <w:t xml:space="preserve"> </w:t>
      </w:r>
      <w:r w:rsidRPr="00F36D62">
        <w:rPr>
          <w:rFonts w:ascii="Garamond" w:hAnsi="Garamond"/>
          <w:smallCaps/>
        </w:rPr>
        <w:t>Weezel</w:t>
      </w:r>
      <w:r w:rsidRPr="00F36D62">
        <w:rPr>
          <w:rFonts w:ascii="Garamond" w:hAnsi="Garamond"/>
        </w:rPr>
        <w:t xml:space="preserve">, Alex, </w:t>
      </w:r>
      <w:r w:rsidRPr="00F36D62">
        <w:rPr>
          <w:rFonts w:ascii="Garamond" w:hAnsi="Garamond"/>
          <w:i/>
        </w:rPr>
        <w:t>§ 4. De la aplicación de las penas. Artículos 50 a 73</w:t>
      </w:r>
      <w:r w:rsidRPr="00F36D62">
        <w:rPr>
          <w:rFonts w:ascii="Garamond" w:hAnsi="Garamond"/>
        </w:rPr>
        <w:t xml:space="preserve">, en </w:t>
      </w:r>
      <w:r w:rsidRPr="00F36D62">
        <w:rPr>
          <w:rFonts w:ascii="Garamond" w:hAnsi="Garamond"/>
          <w:smallCaps/>
        </w:rPr>
        <w:t>Politoff</w:t>
      </w:r>
      <w:r w:rsidRPr="00F36D62">
        <w:rPr>
          <w:rFonts w:ascii="Garamond" w:hAnsi="Garamond"/>
        </w:rPr>
        <w:t xml:space="preserve"> </w:t>
      </w:r>
      <w:r w:rsidRPr="00F36D62">
        <w:rPr>
          <w:rFonts w:ascii="Garamond" w:hAnsi="Garamond"/>
          <w:smallCaps/>
        </w:rPr>
        <w:t>Lifschitz</w:t>
      </w:r>
      <w:r w:rsidRPr="00F36D62">
        <w:rPr>
          <w:rFonts w:ascii="Garamond" w:hAnsi="Garamond"/>
        </w:rPr>
        <w:t xml:space="preserve">, Sergio y </w:t>
      </w:r>
      <w:r w:rsidRPr="00F36D62">
        <w:rPr>
          <w:rFonts w:ascii="Garamond" w:hAnsi="Garamond"/>
          <w:smallCaps/>
        </w:rPr>
        <w:t>Ortiz</w:t>
      </w:r>
      <w:r w:rsidRPr="00F36D62">
        <w:rPr>
          <w:rFonts w:ascii="Garamond" w:hAnsi="Garamond"/>
        </w:rPr>
        <w:t xml:space="preserve"> </w:t>
      </w:r>
      <w:r w:rsidRPr="00F36D62">
        <w:rPr>
          <w:rFonts w:ascii="Garamond" w:hAnsi="Garamond"/>
          <w:smallCaps/>
        </w:rPr>
        <w:t>Quiroga</w:t>
      </w:r>
      <w:r w:rsidRPr="00F36D62">
        <w:rPr>
          <w:rFonts w:ascii="Garamond" w:hAnsi="Garamond"/>
        </w:rPr>
        <w:t xml:space="preserve">, Luis (directores), </w:t>
      </w:r>
      <w:r w:rsidRPr="00F36D62">
        <w:rPr>
          <w:rFonts w:ascii="Garamond" w:hAnsi="Garamond"/>
          <w:i/>
        </w:rPr>
        <w:t>Texto y comentario del Código Penal chileno</w:t>
      </w:r>
      <w:r w:rsidRPr="00F36D62">
        <w:rPr>
          <w:rFonts w:ascii="Garamond" w:hAnsi="Garamond"/>
        </w:rPr>
        <w:t xml:space="preserve">, I: </w:t>
      </w:r>
      <w:r w:rsidRPr="00F36D62">
        <w:rPr>
          <w:rFonts w:ascii="Garamond" w:hAnsi="Garamond"/>
          <w:i/>
        </w:rPr>
        <w:t>Libro primero. Parte general</w:t>
      </w:r>
      <w:r w:rsidRPr="00F36D62">
        <w:rPr>
          <w:rFonts w:ascii="Garamond" w:hAnsi="Garamond"/>
        </w:rPr>
        <w:t xml:space="preserve">, (reimp. 2016, Santiago, Editorial Jurídica de Chile, 2002), p. 354; </w:t>
      </w:r>
      <w:r w:rsidRPr="00F36D62">
        <w:rPr>
          <w:rFonts w:ascii="Garamond" w:hAnsi="Garamond"/>
          <w:smallCaps/>
        </w:rPr>
        <w:t>Novoa</w:t>
      </w:r>
      <w:r w:rsidRPr="00F36D62">
        <w:rPr>
          <w:rFonts w:ascii="Garamond" w:hAnsi="Garamond"/>
        </w:rPr>
        <w:t xml:space="preserve"> </w:t>
      </w:r>
      <w:r w:rsidRPr="00F36D62">
        <w:rPr>
          <w:rFonts w:ascii="Garamond" w:hAnsi="Garamond"/>
          <w:smallCaps/>
        </w:rPr>
        <w:t>Monreal</w:t>
      </w:r>
      <w:r w:rsidRPr="00F36D62">
        <w:rPr>
          <w:rFonts w:ascii="Garamond" w:hAnsi="Garamond"/>
        </w:rPr>
        <w:t>, Eduardo,</w:t>
      </w:r>
      <w:r w:rsidRPr="00F36D62">
        <w:rPr>
          <w:rFonts w:ascii="Garamond" w:hAnsi="Garamond"/>
          <w:i/>
        </w:rPr>
        <w:t xml:space="preserve"> Curso de Derecho Penal chileno</w:t>
      </w:r>
      <w:r w:rsidRPr="00F36D62">
        <w:rPr>
          <w:rFonts w:ascii="Garamond" w:hAnsi="Garamond"/>
        </w:rPr>
        <w:t xml:space="preserve"> (Santiago, Editorial Jurídica de Chile, 1966), II, pp. 116-117; </w:t>
      </w:r>
      <w:r w:rsidRPr="00F36D62">
        <w:rPr>
          <w:rFonts w:ascii="Garamond" w:hAnsi="Garamond"/>
          <w:smallCaps/>
        </w:rPr>
        <w:t>Politoff</w:t>
      </w:r>
      <w:r w:rsidRPr="00F36D62">
        <w:rPr>
          <w:rFonts w:ascii="Garamond" w:hAnsi="Garamond"/>
        </w:rPr>
        <w:t xml:space="preserve">, Sergio, </w:t>
      </w:r>
      <w:r w:rsidRPr="00F36D62">
        <w:rPr>
          <w:rFonts w:ascii="Garamond" w:hAnsi="Garamond"/>
          <w:smallCaps/>
        </w:rPr>
        <w:t>Grisolía</w:t>
      </w:r>
      <w:r w:rsidRPr="00F36D62">
        <w:rPr>
          <w:rFonts w:ascii="Garamond" w:hAnsi="Garamond"/>
        </w:rPr>
        <w:t xml:space="preserve">, Francisco y </w:t>
      </w:r>
      <w:r w:rsidRPr="00F36D62">
        <w:rPr>
          <w:rFonts w:ascii="Garamond" w:hAnsi="Garamond"/>
          <w:smallCaps/>
        </w:rPr>
        <w:t>Bustos</w:t>
      </w:r>
      <w:r w:rsidRPr="00F36D62">
        <w:rPr>
          <w:rFonts w:ascii="Garamond" w:hAnsi="Garamond"/>
        </w:rPr>
        <w:t xml:space="preserve">, Juan, </w:t>
      </w:r>
      <w:r w:rsidRPr="00F36D62">
        <w:rPr>
          <w:rFonts w:ascii="Garamond" w:hAnsi="Garamond"/>
          <w:i/>
        </w:rPr>
        <w:t>Derecho Penal chileno. Parte especial. Delitos contra el individuo en sus condiciones físicas</w:t>
      </w:r>
      <w:r w:rsidRPr="00F36D62">
        <w:rPr>
          <w:rFonts w:ascii="Garamond" w:hAnsi="Garamond"/>
        </w:rPr>
        <w:t xml:space="preserve"> (1971, 2ª edición, Santiago, Editorial Jurídica de Chile, 1993), p. 97; </w:t>
      </w:r>
      <w:r w:rsidRPr="00F36D62">
        <w:rPr>
          <w:rFonts w:ascii="Garamond" w:hAnsi="Garamond"/>
          <w:smallCaps/>
        </w:rPr>
        <w:t>Rodríguez Collao</w:t>
      </w:r>
      <w:r w:rsidRPr="00F36D62">
        <w:rPr>
          <w:rFonts w:ascii="Garamond" w:hAnsi="Garamond"/>
        </w:rPr>
        <w:t xml:space="preserve">, Luis, </w:t>
      </w:r>
      <w:r w:rsidRPr="00F36D62">
        <w:rPr>
          <w:rFonts w:ascii="Garamond" w:hAnsi="Garamond"/>
          <w:i/>
        </w:rPr>
        <w:t>Naturaleza y fundamento de las circunstancias modificatorias de responsabilidad criminal</w:t>
      </w:r>
      <w:r w:rsidRPr="00F36D62">
        <w:rPr>
          <w:rFonts w:ascii="Garamond" w:hAnsi="Garamond"/>
        </w:rPr>
        <w:t xml:space="preserve">, en </w:t>
      </w:r>
      <w:r w:rsidRPr="00F36D62">
        <w:rPr>
          <w:rFonts w:ascii="Garamond" w:hAnsi="Garamond"/>
          <w:i/>
        </w:rPr>
        <w:t>Revista de Derecho de la Pontificia Universidad Católica de Chile</w:t>
      </w:r>
      <w:r w:rsidRPr="00F36D62">
        <w:rPr>
          <w:rFonts w:ascii="Garamond" w:hAnsi="Garamond"/>
        </w:rPr>
        <w:t xml:space="preserve">, XXXVI, (2011), p. 411; </w:t>
      </w:r>
      <w:r w:rsidRPr="00F36D62">
        <w:rPr>
          <w:rFonts w:ascii="Garamond" w:hAnsi="Garamond"/>
          <w:smallCaps/>
        </w:rPr>
        <w:t>Rodríguez Collao</w:t>
      </w:r>
      <w:r w:rsidRPr="00F36D62">
        <w:rPr>
          <w:rFonts w:ascii="Garamond" w:hAnsi="Garamond"/>
        </w:rPr>
        <w:t xml:space="preserve">, Luis y </w:t>
      </w:r>
      <w:r w:rsidRPr="00F36D62">
        <w:rPr>
          <w:rFonts w:ascii="Garamond" w:hAnsi="Garamond"/>
          <w:smallCaps/>
        </w:rPr>
        <w:t>Ossandón Widow</w:t>
      </w:r>
      <w:r w:rsidRPr="00F36D62">
        <w:rPr>
          <w:rFonts w:ascii="Garamond" w:hAnsi="Garamond"/>
        </w:rPr>
        <w:t xml:space="preserve">, María Magdalena, </w:t>
      </w:r>
      <w:r w:rsidRPr="00F36D62">
        <w:rPr>
          <w:rFonts w:ascii="Garamond" w:hAnsi="Garamond"/>
          <w:i/>
        </w:rPr>
        <w:t>Delitos contra la función pública</w:t>
      </w:r>
      <w:r w:rsidRPr="00F36D62">
        <w:rPr>
          <w:rFonts w:ascii="Garamond" w:hAnsi="Garamond"/>
        </w:rPr>
        <w:t xml:space="preserve"> (2004, 2ª edición, Santiago, Editorial Jurídica de Chile, 2008), p. 127; </w:t>
      </w:r>
      <w:bookmarkStart w:id="1" w:name="_Hlk7356467"/>
      <w:r w:rsidRPr="00F36D62">
        <w:rPr>
          <w:rFonts w:ascii="Garamond" w:hAnsi="Garamond"/>
          <w:smallCaps/>
        </w:rPr>
        <w:t>Van Weezel</w:t>
      </w:r>
      <w:r w:rsidRPr="00F36D62">
        <w:rPr>
          <w:rFonts w:ascii="Garamond" w:hAnsi="Garamond"/>
        </w:rPr>
        <w:t xml:space="preserve">, Alex, </w:t>
      </w:r>
      <w:r w:rsidRPr="00F36D62">
        <w:rPr>
          <w:rFonts w:ascii="Garamond" w:hAnsi="Garamond"/>
          <w:i/>
        </w:rPr>
        <w:t>Delitos tributarios</w:t>
      </w:r>
      <w:r w:rsidRPr="00F36D62">
        <w:rPr>
          <w:rFonts w:ascii="Garamond" w:hAnsi="Garamond"/>
        </w:rPr>
        <w:t xml:space="preserve"> (reimp. 2016, Santiago, Editorial Jurídica de Chile, 2007)</w:t>
      </w:r>
      <w:bookmarkEnd w:id="1"/>
      <w:r w:rsidRPr="00F36D62">
        <w:rPr>
          <w:rFonts w:ascii="Garamond" w:hAnsi="Garamond"/>
        </w:rPr>
        <w:t xml:space="preserve">, p. 114. </w:t>
      </w:r>
    </w:p>
  </w:footnote>
  <w:footnote w:id="4">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w:t>
      </w:r>
      <w:r w:rsidRPr="00F36D62">
        <w:rPr>
          <w:rFonts w:ascii="Garamond" w:hAnsi="Garamond"/>
          <w:lang w:val="en-US"/>
        </w:rPr>
        <w:t xml:space="preserve">(n. </w:t>
      </w:r>
      <w:r w:rsidRPr="00F36D62">
        <w:rPr>
          <w:rFonts w:ascii="Garamond" w:hAnsi="Garamond"/>
        </w:rPr>
        <w:fldChar w:fldCharType="begin"/>
      </w:r>
      <w:r w:rsidRPr="00F36D62">
        <w:rPr>
          <w:rFonts w:ascii="Garamond" w:hAnsi="Garamond"/>
          <w:lang w:val="en-US"/>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en-US"/>
        </w:rPr>
        <w:t>3</w:t>
      </w:r>
      <w:r w:rsidRPr="00F36D62">
        <w:rPr>
          <w:rFonts w:ascii="Garamond" w:hAnsi="Garamond"/>
        </w:rPr>
        <w:fldChar w:fldCharType="end"/>
      </w:r>
      <w:r w:rsidRPr="00F36D62">
        <w:rPr>
          <w:rFonts w:ascii="Garamond" w:hAnsi="Garamond"/>
          <w:lang w:val="en-US"/>
        </w:rPr>
        <w:t xml:space="preserve">), pp. 646-647; </w:t>
      </w:r>
      <w:r w:rsidRPr="00F36D62">
        <w:rPr>
          <w:rFonts w:ascii="Garamond" w:hAnsi="Garamond"/>
          <w:smallCaps/>
          <w:lang w:val="en-US"/>
        </w:rPr>
        <w:t>Etcheberry</w:t>
      </w:r>
      <w:r w:rsidRPr="00F36D62">
        <w:rPr>
          <w:rFonts w:ascii="Garamond" w:hAnsi="Garamond"/>
          <w:lang w:val="en-US"/>
        </w:rPr>
        <w:t xml:space="preserve">, cit. (n. </w:t>
      </w:r>
      <w:r w:rsidRPr="00F36D62">
        <w:rPr>
          <w:rFonts w:ascii="Garamond" w:hAnsi="Garamond"/>
        </w:rPr>
        <w:fldChar w:fldCharType="begin"/>
      </w:r>
      <w:r w:rsidRPr="00F36D62">
        <w:rPr>
          <w:rFonts w:ascii="Garamond" w:hAnsi="Garamond"/>
          <w:lang w:val="en-US"/>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82-83, 181; </w:t>
      </w:r>
      <w:r w:rsidRPr="00F36D62">
        <w:rPr>
          <w:rFonts w:ascii="Garamond" w:hAnsi="Garamond"/>
          <w:smallCaps/>
        </w:rPr>
        <w:t>Grisolía</w:t>
      </w:r>
      <w:r w:rsidRPr="00F36D62">
        <w:rPr>
          <w:rFonts w:ascii="Garamond" w:hAnsi="Garamond"/>
        </w:rPr>
        <w:t xml:space="preserve">, Francisco, </w:t>
      </w:r>
      <w:r w:rsidRPr="00F36D62">
        <w:rPr>
          <w:rFonts w:ascii="Garamond" w:hAnsi="Garamond"/>
          <w:i/>
        </w:rPr>
        <w:t>La comunicabilidad en los delitos de malversación y fraude</w:t>
      </w:r>
      <w:r w:rsidRPr="00F36D62">
        <w:rPr>
          <w:rFonts w:ascii="Garamond" w:hAnsi="Garamond"/>
        </w:rPr>
        <w:t xml:space="preserve">, en </w:t>
      </w:r>
      <w:r w:rsidRPr="00F36D62">
        <w:rPr>
          <w:rFonts w:ascii="Garamond" w:hAnsi="Garamond"/>
          <w:i/>
        </w:rPr>
        <w:t>Revista de Ciencias Penales</w:t>
      </w:r>
      <w:r w:rsidRPr="00F36D62">
        <w:rPr>
          <w:rFonts w:ascii="Garamond" w:hAnsi="Garamond"/>
        </w:rPr>
        <w:t xml:space="preserve">, XXXIV (1975), pp. 3, 29-31; </w:t>
      </w:r>
      <w:r w:rsidRPr="00F36D62">
        <w:rPr>
          <w:rFonts w:ascii="Garamond" w:hAnsi="Garamond"/>
          <w:smallCaps/>
        </w:rPr>
        <w:t>Hadwa</w:t>
      </w:r>
      <w:r w:rsidRPr="00F36D62">
        <w:rPr>
          <w:rFonts w:ascii="Garamond" w:hAnsi="Garamond"/>
        </w:rPr>
        <w:t xml:space="preserve">, Marcelo, </w:t>
      </w:r>
      <w:r w:rsidRPr="00F36D62">
        <w:rPr>
          <w:rFonts w:ascii="Garamond" w:hAnsi="Garamond"/>
          <w:i/>
        </w:rPr>
        <w:t>El sujeto activo en los delitos tributarios, y los problemas relativos a la participación criminal</w:t>
      </w:r>
      <w:r w:rsidRPr="00F36D62">
        <w:rPr>
          <w:rFonts w:ascii="Garamond" w:hAnsi="Garamond"/>
        </w:rPr>
        <w:t xml:space="preserve">, en </w:t>
      </w:r>
      <w:r w:rsidRPr="00F36D62">
        <w:rPr>
          <w:rFonts w:ascii="Garamond" w:hAnsi="Garamond"/>
          <w:i/>
        </w:rPr>
        <w:t>Política Criminal</w:t>
      </w:r>
      <w:r w:rsidRPr="00F36D62">
        <w:rPr>
          <w:rFonts w:ascii="Garamond" w:hAnsi="Garamond"/>
        </w:rPr>
        <w:t xml:space="preserve">, 3 (2007), p. 10;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354, 355; </w:t>
      </w:r>
      <w:r w:rsidRPr="00F36D62">
        <w:rPr>
          <w:rFonts w:ascii="Garamond" w:hAnsi="Garamond"/>
          <w:smallCaps/>
        </w:rPr>
        <w:t>Politoff</w:t>
      </w:r>
      <w:r w:rsidRPr="00F36D62">
        <w:rPr>
          <w:rFonts w:ascii="Garamond" w:hAnsi="Garamond"/>
        </w:rPr>
        <w:t xml:space="preserve">, </w:t>
      </w:r>
      <w:r w:rsidRPr="00F36D62">
        <w:rPr>
          <w:rFonts w:ascii="Garamond" w:hAnsi="Garamond"/>
          <w:smallCaps/>
        </w:rPr>
        <w:t>Grisolía</w:t>
      </w:r>
      <w:r w:rsidRPr="00F36D62">
        <w:rPr>
          <w:rFonts w:ascii="Garamond" w:hAnsi="Garamond"/>
        </w:rPr>
        <w:t xml:space="preserve"> </w:t>
      </w:r>
      <w:r w:rsidRPr="00F36D62">
        <w:rPr>
          <w:rFonts w:ascii="Garamond" w:hAnsi="Garamond"/>
          <w:smallCaps/>
        </w:rPr>
        <w:t>y</w:t>
      </w:r>
      <w:r w:rsidRPr="00F36D62">
        <w:rPr>
          <w:rFonts w:ascii="Garamond" w:hAnsi="Garamond"/>
        </w:rPr>
        <w:t xml:space="preserve"> </w:t>
      </w:r>
      <w:r w:rsidRPr="00F36D62">
        <w:rPr>
          <w:rFonts w:ascii="Garamond" w:hAnsi="Garamond"/>
          <w:smallCaps/>
        </w:rPr>
        <w:t>Bustos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100. Al parecer también </w:t>
      </w:r>
      <w:r w:rsidRPr="00F36D62">
        <w:rPr>
          <w:rFonts w:ascii="Garamond" w:hAnsi="Garamond"/>
          <w:smallCaps/>
        </w:rPr>
        <w:t>Hernández</w:t>
      </w:r>
      <w:r w:rsidRPr="00F36D62">
        <w:rPr>
          <w:rFonts w:ascii="Garamond" w:hAnsi="Garamond"/>
        </w:rPr>
        <w:t xml:space="preserve">, Héctor, </w:t>
      </w:r>
      <w:r w:rsidRPr="00F36D62">
        <w:rPr>
          <w:rFonts w:ascii="Garamond" w:hAnsi="Garamond"/>
          <w:i/>
        </w:rPr>
        <w:t>Comentario</w:t>
      </w:r>
      <w:r w:rsidRPr="00F36D62">
        <w:rPr>
          <w:rFonts w:ascii="Garamond" w:hAnsi="Garamond"/>
        </w:rPr>
        <w:t xml:space="preserve"> en </w:t>
      </w:r>
      <w:r w:rsidRPr="00F36D62">
        <w:rPr>
          <w:rFonts w:ascii="Garamond" w:hAnsi="Garamond"/>
          <w:smallCaps/>
        </w:rPr>
        <w:t>Couso</w:t>
      </w:r>
      <w:r w:rsidRPr="00F36D62">
        <w:rPr>
          <w:rFonts w:ascii="Garamond" w:hAnsi="Garamond"/>
        </w:rPr>
        <w:t xml:space="preserve"> </w:t>
      </w:r>
      <w:r w:rsidRPr="00F36D62">
        <w:rPr>
          <w:rFonts w:ascii="Garamond" w:hAnsi="Garamond"/>
          <w:smallCaps/>
        </w:rPr>
        <w:t>Salas</w:t>
      </w:r>
      <w:r w:rsidRPr="00F36D62">
        <w:rPr>
          <w:rFonts w:ascii="Garamond" w:hAnsi="Garamond"/>
        </w:rPr>
        <w:t xml:space="preserve">, Javier y </w:t>
      </w:r>
      <w:r w:rsidRPr="00F36D62">
        <w:rPr>
          <w:rFonts w:ascii="Garamond" w:hAnsi="Garamond"/>
          <w:smallCaps/>
        </w:rPr>
        <w:t>Hernández</w:t>
      </w:r>
      <w:r w:rsidRPr="00F36D62">
        <w:rPr>
          <w:rFonts w:ascii="Garamond" w:hAnsi="Garamond"/>
        </w:rPr>
        <w:t xml:space="preserve"> </w:t>
      </w:r>
      <w:r w:rsidRPr="00F36D62">
        <w:rPr>
          <w:rFonts w:ascii="Garamond" w:hAnsi="Garamond"/>
          <w:smallCaps/>
        </w:rPr>
        <w:t>Basualto</w:t>
      </w:r>
      <w:r w:rsidRPr="00F36D62">
        <w:rPr>
          <w:rFonts w:ascii="Garamond" w:hAnsi="Garamond"/>
        </w:rPr>
        <w:t xml:space="preserve">, Héctor (directores), </w:t>
      </w:r>
      <w:r w:rsidRPr="00F36D62">
        <w:rPr>
          <w:rFonts w:ascii="Garamond" w:hAnsi="Garamond"/>
          <w:i/>
        </w:rPr>
        <w:t xml:space="preserve">Código Penal comentado. Parte general. Doctrina y jurisprudencia </w:t>
      </w:r>
      <w:r w:rsidRPr="00F36D62">
        <w:rPr>
          <w:rFonts w:ascii="Garamond" w:hAnsi="Garamond"/>
        </w:rPr>
        <w:t xml:space="preserve">(Santiago, Legal Publishing, 2011), pp. 378; </w:t>
      </w:r>
      <w:r w:rsidRPr="00F36D62">
        <w:rPr>
          <w:rFonts w:ascii="Garamond" w:hAnsi="Garamond"/>
          <w:smallCaps/>
          <w:lang w:val="es-CL"/>
        </w:rPr>
        <w:t>Bullemore G.</w:t>
      </w:r>
      <w:r w:rsidRPr="00F36D62">
        <w:rPr>
          <w:rFonts w:ascii="Garamond" w:hAnsi="Garamond"/>
          <w:lang w:val="es-CL"/>
        </w:rPr>
        <w:t xml:space="preserve">, Vivian R. y </w:t>
      </w:r>
      <w:r w:rsidRPr="00F36D62">
        <w:rPr>
          <w:rFonts w:ascii="Garamond" w:hAnsi="Garamond"/>
          <w:smallCaps/>
          <w:lang w:val="es-CL"/>
        </w:rPr>
        <w:t>MacKinnon R.</w:t>
      </w:r>
      <w:r w:rsidRPr="00F36D62">
        <w:rPr>
          <w:rFonts w:ascii="Garamond" w:hAnsi="Garamond"/>
          <w:lang w:val="es-CL"/>
        </w:rPr>
        <w:t xml:space="preserve">, John R., </w:t>
      </w:r>
      <w:r w:rsidRPr="00F36D62">
        <w:rPr>
          <w:rFonts w:ascii="Garamond" w:hAnsi="Garamond"/>
          <w:i/>
          <w:lang w:val="es-CL"/>
        </w:rPr>
        <w:t>Curso de Derecho Penal</w:t>
      </w:r>
      <w:r w:rsidRPr="00F36D62">
        <w:rPr>
          <w:rFonts w:ascii="Garamond" w:hAnsi="Garamond"/>
          <w:lang w:val="es-CL"/>
        </w:rPr>
        <w:t xml:space="preserve">, II: </w:t>
      </w:r>
      <w:r w:rsidRPr="00F36D62">
        <w:rPr>
          <w:rFonts w:ascii="Garamond" w:hAnsi="Garamond"/>
          <w:i/>
          <w:lang w:val="es-CL"/>
        </w:rPr>
        <w:t>Teoría del delito</w:t>
      </w:r>
      <w:r w:rsidRPr="00F36D62">
        <w:rPr>
          <w:rFonts w:ascii="Garamond" w:hAnsi="Garamond"/>
          <w:lang w:val="es-CL"/>
        </w:rPr>
        <w:t xml:space="preserve"> (2005, 3ª edición, Santiago, Legal Publishing, 2010)</w:t>
      </w:r>
      <w:r w:rsidRPr="00F36D62">
        <w:rPr>
          <w:rFonts w:ascii="Garamond" w:hAnsi="Garamond"/>
        </w:rPr>
        <w:t xml:space="preserve">, p. 177. </w:t>
      </w:r>
    </w:p>
  </w:footnote>
  <w:footnote w:id="5">
    <w:p w:rsidR="00306473" w:rsidRPr="00F36D62" w:rsidRDefault="00306473" w:rsidP="00E229F1">
      <w:pPr>
        <w:pStyle w:val="Textonotapie"/>
        <w:tabs>
          <w:tab w:val="left" w:pos="1232"/>
        </w:tabs>
        <w:rPr>
          <w:rFonts w:ascii="Garamond" w:hAnsi="Garamond"/>
        </w:rPr>
      </w:pPr>
      <w:r w:rsidRPr="00F36D62">
        <w:rPr>
          <w:rStyle w:val="Refdenotaalpie"/>
          <w:rFonts w:ascii="Garamond" w:hAnsi="Garamond"/>
        </w:rPr>
        <w:footnoteRef/>
      </w:r>
      <w:r w:rsidRPr="00F36D62">
        <w:rPr>
          <w:rFonts w:ascii="Garamond" w:hAnsi="Garamond"/>
        </w:rPr>
        <w:t xml:space="preserve"> Según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355, esa era la “tendencia”; similar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580. Sin embargo, han surgido voces que cuestionan el alcance extendido; </w:t>
      </w:r>
      <w:r w:rsidRPr="00F36D62">
        <w:rPr>
          <w:rFonts w:ascii="Garamond" w:hAnsi="Garamond"/>
          <w:smallCaps/>
        </w:rPr>
        <w:t>Van Weezel</w:t>
      </w:r>
      <w:r w:rsidRPr="00F36D62">
        <w:rPr>
          <w:rFonts w:ascii="Garamond" w:hAnsi="Garamond"/>
        </w:rPr>
        <w:t xml:space="preserve">, Alex, </w:t>
      </w:r>
      <w:r w:rsidRPr="00F36D62">
        <w:rPr>
          <w:rFonts w:ascii="Garamond" w:hAnsi="Garamond"/>
          <w:i/>
        </w:rPr>
        <w:t>El sujeto activo del delito previsto en el artículo 97 N° 4 inciso 2º del Código Tributario</w:t>
      </w:r>
      <w:r w:rsidRPr="00F36D62">
        <w:rPr>
          <w:rFonts w:ascii="Garamond" w:hAnsi="Garamond"/>
        </w:rPr>
        <w:t xml:space="preserve">, en </w:t>
      </w:r>
      <w:r w:rsidRPr="00F36D62">
        <w:rPr>
          <w:rFonts w:ascii="Garamond" w:hAnsi="Garamond"/>
          <w:i/>
        </w:rPr>
        <w:t xml:space="preserve">Jurisprudencia al día, </w:t>
      </w:r>
      <w:r w:rsidRPr="00F36D62">
        <w:rPr>
          <w:rFonts w:ascii="Garamond" w:hAnsi="Garamond"/>
        </w:rPr>
        <w:t xml:space="preserve">III (2008), 101, p. 1166, posición anticipada ya en </w:t>
      </w:r>
      <w:r w:rsidRPr="00F36D62">
        <w:rPr>
          <w:rFonts w:ascii="Garamond" w:hAnsi="Garamond"/>
          <w:smallCaps/>
        </w:rPr>
        <w:t>Van Weezel</w:t>
      </w:r>
      <w:r w:rsidRPr="00F36D62">
        <w:rPr>
          <w:rFonts w:ascii="Garamond" w:hAnsi="Garamond"/>
        </w:rPr>
        <w:t xml:space="preserve">, </w:t>
      </w:r>
      <w:r w:rsidRPr="00F36D62">
        <w:rPr>
          <w:rFonts w:ascii="Garamond" w:hAnsi="Garamond"/>
          <w:i/>
        </w:rPr>
        <w:t>Delitos tributarios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114, 115; </w:t>
      </w:r>
      <w:r w:rsidRPr="00F36D62">
        <w:rPr>
          <w:rFonts w:ascii="Garamond" w:hAnsi="Garamond"/>
          <w:smallCaps/>
        </w:rPr>
        <w:t>Ossandón Widow</w:t>
      </w:r>
      <w:r w:rsidRPr="00F36D62">
        <w:rPr>
          <w:rFonts w:ascii="Garamond" w:hAnsi="Garamond"/>
        </w:rPr>
        <w:t xml:space="preserve">, María Magdalena, </w:t>
      </w:r>
      <w:r w:rsidRPr="00F36D62">
        <w:rPr>
          <w:rFonts w:ascii="Garamond" w:hAnsi="Garamond"/>
          <w:i/>
        </w:rPr>
        <w:t>Sobre la calidad de empleado público en los delitos funcionarios y al punibilidad de quienes no la poseen</w:t>
      </w:r>
      <w:r w:rsidRPr="00F36D62">
        <w:rPr>
          <w:rFonts w:ascii="Garamond" w:hAnsi="Garamond"/>
        </w:rPr>
        <w:t xml:space="preserve">, en </w:t>
      </w:r>
      <w:r w:rsidRPr="00F36D62">
        <w:rPr>
          <w:rFonts w:ascii="Garamond" w:hAnsi="Garamond"/>
          <w:i/>
        </w:rPr>
        <w:t>Doctrina y jurisprudencia Penal</w:t>
      </w:r>
      <w:r w:rsidRPr="00F36D62">
        <w:rPr>
          <w:rFonts w:ascii="Garamond" w:hAnsi="Garamond"/>
        </w:rPr>
        <w:t xml:space="preserve">, 8 (2012), p. 62;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w:t>
      </w:r>
      <w:r w:rsidRPr="00F36D62">
        <w:rPr>
          <w:rFonts w:ascii="Garamond" w:hAnsi="Garamond"/>
          <w:i/>
        </w:rPr>
        <w:t>passim</w:t>
      </w:r>
      <w:r w:rsidRPr="00F36D62">
        <w:rPr>
          <w:rFonts w:ascii="Garamond" w:hAnsi="Garamond"/>
        </w:rPr>
        <w:t xml:space="preserve">, especialmente, pp. 244-245; al parecer </w:t>
      </w:r>
      <w:r w:rsidRPr="00F36D62">
        <w:rPr>
          <w:rFonts w:ascii="Garamond" w:hAnsi="Garamond"/>
          <w:smallCaps/>
        </w:rPr>
        <w:t>Hernández</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_Ref7357429 \h  \* MERGEFORMAT </w:instrText>
      </w:r>
      <w:r w:rsidRPr="00F36D62">
        <w:rPr>
          <w:rFonts w:ascii="Garamond" w:hAnsi="Garamond"/>
        </w:rPr>
      </w:r>
      <w:r w:rsidRPr="00F36D62">
        <w:rPr>
          <w:rFonts w:ascii="Garamond" w:hAnsi="Garamond"/>
        </w:rPr>
        <w:fldChar w:fldCharType="separate"/>
      </w:r>
      <w:r w:rsidRPr="00F36D62">
        <w:rPr>
          <w:rFonts w:ascii="Garamond" w:hAnsi="Garamond"/>
        </w:rPr>
        <w:t>4</w:t>
      </w:r>
      <w:r w:rsidRPr="00F36D62">
        <w:rPr>
          <w:rFonts w:ascii="Garamond" w:hAnsi="Garamond"/>
        </w:rPr>
        <w:fldChar w:fldCharType="end"/>
      </w:r>
      <w:r w:rsidRPr="00F36D62">
        <w:rPr>
          <w:rFonts w:ascii="Garamond" w:hAnsi="Garamond"/>
        </w:rPr>
        <w:t xml:space="preserve">), p. 372. Ya </w:t>
      </w:r>
      <w:r w:rsidRPr="00F36D62">
        <w:rPr>
          <w:rFonts w:ascii="Garamond" w:hAnsi="Garamond"/>
          <w:smallCaps/>
        </w:rPr>
        <w:t>Pacheco</w:t>
      </w:r>
      <w:r w:rsidRPr="00F36D62">
        <w:rPr>
          <w:rFonts w:ascii="Garamond" w:hAnsi="Garamond"/>
        </w:rPr>
        <w:t xml:space="preserve">, Joaquín Francisco, </w:t>
      </w:r>
      <w:r w:rsidRPr="00F36D62">
        <w:rPr>
          <w:rFonts w:ascii="Garamond" w:hAnsi="Garamond"/>
          <w:i/>
        </w:rPr>
        <w:t>El Código Penal concordado y comentado</w:t>
      </w:r>
      <w:r w:rsidRPr="00F36D62">
        <w:rPr>
          <w:rFonts w:ascii="Garamond" w:hAnsi="Garamond"/>
        </w:rPr>
        <w:t xml:space="preserve">, (1848, 5ª edición, Madrid, Imprenta y Fundición de Manuel Tello, 1881), I, p. 399 anunciaba el carácter más general del problema; así mismo, </w:t>
      </w:r>
      <w:r w:rsidRPr="00F36D62">
        <w:rPr>
          <w:rFonts w:ascii="Garamond" w:hAnsi="Garamond"/>
          <w:smallCaps/>
        </w:rPr>
        <w:t xml:space="preserve">Arabia, </w:t>
      </w:r>
      <w:r w:rsidRPr="00F36D62">
        <w:rPr>
          <w:rFonts w:ascii="Garamond" w:hAnsi="Garamond"/>
        </w:rPr>
        <w:t>Francesco Saverio,</w:t>
      </w:r>
      <w:r w:rsidRPr="00F36D62">
        <w:rPr>
          <w:rFonts w:ascii="Garamond" w:hAnsi="Garamond"/>
          <w:smallCaps/>
        </w:rPr>
        <w:t xml:space="preserve"> </w:t>
      </w:r>
      <w:r w:rsidRPr="00F36D62">
        <w:rPr>
          <w:rFonts w:ascii="Garamond" w:hAnsi="Garamond"/>
          <w:i/>
        </w:rPr>
        <w:t xml:space="preserve">I </w:t>
      </w:r>
      <w:proofErr w:type="spellStart"/>
      <w:r w:rsidRPr="00F36D62">
        <w:rPr>
          <w:rFonts w:ascii="Garamond" w:hAnsi="Garamond"/>
          <w:i/>
        </w:rPr>
        <w:t>principi</w:t>
      </w:r>
      <w:proofErr w:type="spellEnd"/>
      <w:r w:rsidRPr="00F36D62">
        <w:rPr>
          <w:rFonts w:ascii="Garamond" w:hAnsi="Garamond"/>
          <w:i/>
        </w:rPr>
        <w:t xml:space="preserve"> del diritto penal </w:t>
      </w:r>
      <w:proofErr w:type="spellStart"/>
      <w:r w:rsidRPr="00F36D62">
        <w:rPr>
          <w:rFonts w:ascii="Garamond" w:hAnsi="Garamond"/>
          <w:i/>
        </w:rPr>
        <w:t>applicati</w:t>
      </w:r>
      <w:proofErr w:type="spellEnd"/>
      <w:r w:rsidRPr="00F36D62">
        <w:rPr>
          <w:rFonts w:ascii="Garamond" w:hAnsi="Garamond"/>
          <w:i/>
        </w:rPr>
        <w:t xml:space="preserve"> al </w:t>
      </w:r>
      <w:proofErr w:type="spellStart"/>
      <w:r w:rsidRPr="00F36D62">
        <w:rPr>
          <w:rFonts w:ascii="Garamond" w:hAnsi="Garamond"/>
          <w:i/>
        </w:rPr>
        <w:t>Codice</w:t>
      </w:r>
      <w:proofErr w:type="spellEnd"/>
      <w:r w:rsidRPr="00F36D62">
        <w:rPr>
          <w:rFonts w:ascii="Garamond" w:hAnsi="Garamond"/>
          <w:i/>
        </w:rPr>
        <w:t xml:space="preserve"> </w:t>
      </w:r>
      <w:proofErr w:type="spellStart"/>
      <w:r w:rsidRPr="00F36D62">
        <w:rPr>
          <w:rFonts w:ascii="Garamond" w:hAnsi="Garamond"/>
          <w:i/>
        </w:rPr>
        <w:t>delle</w:t>
      </w:r>
      <w:proofErr w:type="spellEnd"/>
      <w:r w:rsidRPr="00F36D62">
        <w:rPr>
          <w:rFonts w:ascii="Garamond" w:hAnsi="Garamond"/>
          <w:i/>
        </w:rPr>
        <w:t xml:space="preserve"> </w:t>
      </w:r>
      <w:proofErr w:type="spellStart"/>
      <w:r w:rsidRPr="00F36D62">
        <w:rPr>
          <w:rFonts w:ascii="Garamond" w:hAnsi="Garamond"/>
          <w:i/>
        </w:rPr>
        <w:t>Due</w:t>
      </w:r>
      <w:proofErr w:type="spellEnd"/>
      <w:r w:rsidRPr="00F36D62">
        <w:rPr>
          <w:rFonts w:ascii="Garamond" w:hAnsi="Garamond"/>
          <w:i/>
        </w:rPr>
        <w:t xml:space="preserve"> </w:t>
      </w:r>
      <w:proofErr w:type="spellStart"/>
      <w:r w:rsidRPr="00F36D62">
        <w:rPr>
          <w:rFonts w:ascii="Garamond" w:hAnsi="Garamond"/>
          <w:i/>
        </w:rPr>
        <w:t>Sicilie</w:t>
      </w:r>
      <w:proofErr w:type="spellEnd"/>
      <w:r w:rsidRPr="00F36D62">
        <w:rPr>
          <w:rFonts w:ascii="Garamond" w:hAnsi="Garamond"/>
          <w:i/>
        </w:rPr>
        <w:t xml:space="preserve"> col confronto de' </w:t>
      </w:r>
      <w:proofErr w:type="spellStart"/>
      <w:r w:rsidRPr="00F36D62">
        <w:rPr>
          <w:rFonts w:ascii="Garamond" w:hAnsi="Garamond"/>
          <w:i/>
        </w:rPr>
        <w:t>migliori</w:t>
      </w:r>
      <w:proofErr w:type="spellEnd"/>
      <w:r w:rsidRPr="00F36D62">
        <w:rPr>
          <w:rFonts w:ascii="Garamond" w:hAnsi="Garamond"/>
          <w:i/>
        </w:rPr>
        <w:t xml:space="preserve"> </w:t>
      </w:r>
      <w:proofErr w:type="spellStart"/>
      <w:r w:rsidRPr="00F36D62">
        <w:rPr>
          <w:rFonts w:ascii="Garamond" w:hAnsi="Garamond"/>
          <w:i/>
        </w:rPr>
        <w:t>codici</w:t>
      </w:r>
      <w:proofErr w:type="spellEnd"/>
      <w:r w:rsidRPr="00F36D62">
        <w:rPr>
          <w:rFonts w:ascii="Garamond" w:hAnsi="Garamond"/>
          <w:i/>
        </w:rPr>
        <w:t xml:space="preserve"> d' Europa</w:t>
      </w:r>
      <w:r w:rsidRPr="00F36D62">
        <w:rPr>
          <w:rFonts w:ascii="Garamond" w:hAnsi="Garamond"/>
        </w:rPr>
        <w:t xml:space="preserve">, (2ª edición, </w:t>
      </w:r>
      <w:proofErr w:type="spellStart"/>
      <w:r w:rsidRPr="00F36D62">
        <w:rPr>
          <w:rFonts w:ascii="Garamond" w:hAnsi="Garamond"/>
        </w:rPr>
        <w:t>Napoli</w:t>
      </w:r>
      <w:proofErr w:type="spellEnd"/>
      <w:r w:rsidRPr="00F36D62">
        <w:rPr>
          <w:rFonts w:ascii="Garamond" w:hAnsi="Garamond"/>
        </w:rPr>
        <w:t xml:space="preserve">, </w:t>
      </w:r>
      <w:proofErr w:type="spellStart"/>
      <w:r w:rsidRPr="00F36D62">
        <w:rPr>
          <w:rFonts w:ascii="Garamond" w:hAnsi="Garamond"/>
        </w:rPr>
        <w:t>Tipografia</w:t>
      </w:r>
      <w:proofErr w:type="spellEnd"/>
      <w:r w:rsidRPr="00F36D62">
        <w:rPr>
          <w:rFonts w:ascii="Garamond" w:hAnsi="Garamond"/>
        </w:rPr>
        <w:t xml:space="preserve"> de la sirena, 1859), II, p. 187.</w:t>
      </w:r>
    </w:p>
  </w:footnote>
  <w:footnote w:id="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Expresivo, </w:t>
      </w:r>
      <w:r w:rsidRPr="00F36D62">
        <w:rPr>
          <w:rFonts w:ascii="Garamond" w:hAnsi="Garamond"/>
          <w:smallCaps/>
        </w:rPr>
        <w:t>Etcheberry</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82 al afirmar que, para las modificatorias propiamente tales, “[l]a regla no ofrece dificultad”. Sin referencias críticas a los criterios legales,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579-584; </w:t>
      </w:r>
      <w:r w:rsidRPr="00F36D62">
        <w:rPr>
          <w:rFonts w:ascii="Garamond" w:hAnsi="Garamond"/>
          <w:smallCaps/>
        </w:rPr>
        <w:t>Garrido Montt</w:t>
      </w:r>
      <w:r w:rsidRPr="00F36D62">
        <w:rPr>
          <w:rFonts w:ascii="Garamond" w:hAnsi="Garamond"/>
        </w:rPr>
        <w:t xml:space="preserve">, Mario, </w:t>
      </w:r>
      <w:r w:rsidRPr="00F36D62">
        <w:rPr>
          <w:rFonts w:ascii="Garamond" w:hAnsi="Garamond"/>
          <w:i/>
        </w:rPr>
        <w:t>Derecho Penal</w:t>
      </w:r>
      <w:r w:rsidRPr="00F36D62">
        <w:rPr>
          <w:rFonts w:ascii="Garamond" w:hAnsi="Garamond"/>
        </w:rPr>
        <w:t xml:space="preserve">, I: </w:t>
      </w:r>
      <w:r w:rsidRPr="00F36D62">
        <w:rPr>
          <w:rFonts w:ascii="Garamond" w:hAnsi="Garamond"/>
          <w:i/>
        </w:rPr>
        <w:t>Parte general</w:t>
      </w:r>
      <w:r w:rsidRPr="00F36D62">
        <w:rPr>
          <w:rFonts w:ascii="Garamond" w:hAnsi="Garamond"/>
        </w:rPr>
        <w:t xml:space="preserve">, (reimp. 2009, 2ª edición, Santiago, Editorial Jurídica de Chile, 2007), pp. 182, 206-207, 303; </w:t>
      </w:r>
      <w:r w:rsidRPr="00F36D62">
        <w:rPr>
          <w:rFonts w:ascii="Garamond" w:hAnsi="Garamond"/>
          <w:smallCaps/>
        </w:rPr>
        <w:t>Labatut</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 pp. 194-195, 219, 273-274 (aunque plantea que los criterios relativos a las circunstancias personales son “de fácil confusión en la práctica”);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353-358;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116-117, 238. Críticos en cambio, se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499 (en relación con el carácter subjetivo y objetivo, con proyecciones al alcance de los términos empleados por ley); </w:t>
      </w:r>
      <w:r w:rsidRPr="00F36D62">
        <w:rPr>
          <w:rFonts w:ascii="Garamond" w:hAnsi="Garamond"/>
          <w:smallCaps/>
        </w:rPr>
        <w:t>Van Weezel</w:t>
      </w:r>
      <w:r w:rsidRPr="00F36D62">
        <w:rPr>
          <w:rFonts w:ascii="Garamond" w:hAnsi="Garamond"/>
        </w:rPr>
        <w:t xml:space="preserve">, </w:t>
      </w:r>
      <w:r w:rsidRPr="00F36D62">
        <w:rPr>
          <w:rFonts w:ascii="Garamond" w:hAnsi="Garamond"/>
          <w:i/>
        </w:rPr>
        <w:t>El sujeto activo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xml:space="preserve">), p. 1166 (en relación a su aplicación a los elementos típicos, identificando el problema “en que no proporciona un criterio razonable para distinguir entre distintas clases de delitos especiales”);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229-230 (“una vaguedad legislativa”). </w:t>
      </w:r>
    </w:p>
  </w:footnote>
  <w:footnote w:id="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579-584; </w:t>
      </w:r>
      <w:r w:rsidRPr="00F36D62">
        <w:rPr>
          <w:rFonts w:ascii="Garamond" w:hAnsi="Garamond"/>
          <w:smallCaps/>
        </w:rPr>
        <w:t>Etcheberry</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81-85; </w:t>
      </w:r>
      <w:r w:rsidRPr="00F36D62">
        <w:rPr>
          <w:rFonts w:ascii="Garamond" w:hAnsi="Garamond"/>
          <w:smallCaps/>
        </w:rPr>
        <w:t>Garrido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_Ref522287059 \h  \* MERGEFORMAT </w:instrText>
      </w:r>
      <w:r w:rsidRPr="00F36D62">
        <w:rPr>
          <w:rFonts w:ascii="Garamond" w:hAnsi="Garamond"/>
        </w:rPr>
      </w:r>
      <w:r w:rsidRPr="00F36D62">
        <w:rPr>
          <w:rFonts w:ascii="Garamond" w:hAnsi="Garamond"/>
        </w:rPr>
        <w:fldChar w:fldCharType="separate"/>
      </w:r>
      <w:r w:rsidRPr="00F36D62">
        <w:rPr>
          <w:rFonts w:ascii="Garamond" w:hAnsi="Garamond"/>
        </w:rPr>
        <w:t>6</w:t>
      </w:r>
      <w:r w:rsidRPr="00F36D62">
        <w:rPr>
          <w:rFonts w:ascii="Garamond" w:hAnsi="Garamond"/>
        </w:rPr>
        <w:fldChar w:fldCharType="end"/>
      </w:r>
      <w:r w:rsidRPr="00F36D62">
        <w:rPr>
          <w:rFonts w:ascii="Garamond" w:hAnsi="Garamond"/>
        </w:rPr>
        <w:t xml:space="preserve">), I, pp. 182, 206, 330;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356-358 (aunque parcialmente recogen una descripción próxima a la de Cury); </w:t>
      </w:r>
      <w:r w:rsidRPr="00F36D62">
        <w:rPr>
          <w:rFonts w:ascii="Garamond" w:hAnsi="Garamond"/>
          <w:smallCaps/>
        </w:rPr>
        <w:t>Labatut</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 pp. 194-195, 219, 273-274;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116-117, 238. Excepcionalmente,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499-500 ofrece –en sus palabras– una “determinación más rigurosa de los conceptos”. </w:t>
      </w:r>
    </w:p>
  </w:footnote>
  <w:footnote w:id="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En algunos casos sólo para agravantes o agregando una categoría intermedia; </w:t>
      </w:r>
      <w:r w:rsidRPr="00F36D62">
        <w:rPr>
          <w:rFonts w:ascii="Garamond" w:hAnsi="Garamond"/>
          <w:i/>
        </w:rPr>
        <w:t>vid.</w:t>
      </w:r>
      <w:r w:rsidRPr="00F36D62">
        <w:rPr>
          <w:rFonts w:ascii="Garamond" w:hAnsi="Garamond"/>
        </w:rPr>
        <w:t xml:space="preserve">, </w:t>
      </w:r>
      <w:r w:rsidRPr="00F36D62">
        <w:rPr>
          <w:rFonts w:ascii="Garamond" w:hAnsi="Garamond"/>
          <w:smallCaps/>
        </w:rPr>
        <w:t>Bullemore y MacKinnon</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_Ref7357429 \h  \* MERGEFORMAT </w:instrText>
      </w:r>
      <w:r w:rsidRPr="00F36D62">
        <w:rPr>
          <w:rFonts w:ascii="Garamond" w:hAnsi="Garamond"/>
        </w:rPr>
      </w:r>
      <w:r w:rsidRPr="00F36D62">
        <w:rPr>
          <w:rFonts w:ascii="Garamond" w:hAnsi="Garamond"/>
        </w:rPr>
        <w:fldChar w:fldCharType="separate"/>
      </w:r>
      <w:r w:rsidRPr="00F36D62">
        <w:rPr>
          <w:rFonts w:ascii="Garamond" w:hAnsi="Garamond"/>
        </w:rPr>
        <w:t>4</w:t>
      </w:r>
      <w:r w:rsidRPr="00F36D62">
        <w:rPr>
          <w:rFonts w:ascii="Garamond" w:hAnsi="Garamond"/>
        </w:rPr>
        <w:fldChar w:fldCharType="end"/>
      </w:r>
      <w:r w:rsidRPr="00F36D62">
        <w:rPr>
          <w:rFonts w:ascii="Garamond" w:hAnsi="Garamond"/>
        </w:rPr>
        <w:t xml:space="preserve">), II, p. 226; </w:t>
      </w:r>
      <w:r w:rsidRPr="00F36D62">
        <w:rPr>
          <w:rFonts w:ascii="Garamond" w:hAnsi="Garamond"/>
          <w:smallCaps/>
        </w:rPr>
        <w:t>Etcheberry</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28-44; </w:t>
      </w:r>
      <w:r w:rsidRPr="00F36D62">
        <w:rPr>
          <w:rFonts w:ascii="Garamond" w:hAnsi="Garamond"/>
          <w:smallCaps/>
        </w:rPr>
        <w:t>Garrido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_Ref522287059 \h  \* MERGEFORMAT </w:instrText>
      </w:r>
      <w:r w:rsidRPr="00F36D62">
        <w:rPr>
          <w:rFonts w:ascii="Garamond" w:hAnsi="Garamond"/>
        </w:rPr>
      </w:r>
      <w:r w:rsidRPr="00F36D62">
        <w:rPr>
          <w:rFonts w:ascii="Garamond" w:hAnsi="Garamond"/>
        </w:rPr>
        <w:fldChar w:fldCharType="separate"/>
      </w:r>
      <w:r w:rsidRPr="00F36D62">
        <w:rPr>
          <w:rFonts w:ascii="Garamond" w:hAnsi="Garamond"/>
        </w:rPr>
        <w:t>6</w:t>
      </w:r>
      <w:r w:rsidRPr="00F36D62">
        <w:rPr>
          <w:rFonts w:ascii="Garamond" w:hAnsi="Garamond"/>
        </w:rPr>
        <w:fldChar w:fldCharType="end"/>
      </w:r>
      <w:r w:rsidRPr="00F36D62">
        <w:rPr>
          <w:rFonts w:ascii="Garamond" w:hAnsi="Garamond"/>
        </w:rPr>
        <w:t xml:space="preserve">), I, pp. 206-207;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3</w:t>
      </w:r>
      <w:r w:rsidRPr="00F36D62">
        <w:rPr>
          <w:rFonts w:ascii="Garamond" w:hAnsi="Garamond"/>
        </w:rPr>
        <w:fldChar w:fldCharType="end"/>
      </w:r>
      <w:r w:rsidRPr="00F36D62">
        <w:rPr>
          <w:rFonts w:ascii="Garamond" w:hAnsi="Garamond"/>
          <w:lang w:val="it-IT"/>
        </w:rPr>
        <w:t xml:space="preserve">), pp. </w:t>
      </w:r>
      <w:r w:rsidRPr="00F36D62">
        <w:rPr>
          <w:rFonts w:ascii="Garamond" w:hAnsi="Garamond"/>
          <w:lang w:val="it-IT"/>
        </w:rPr>
        <w:t xml:space="preserve">356-358; </w:t>
      </w:r>
      <w:r w:rsidRPr="00F36D62">
        <w:rPr>
          <w:rFonts w:ascii="Garamond" w:hAnsi="Garamond"/>
          <w:smallCaps/>
          <w:lang w:val="it-IT"/>
        </w:rPr>
        <w:t>Labatut</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3</w:t>
      </w:r>
      <w:r w:rsidRPr="00F36D62">
        <w:rPr>
          <w:rFonts w:ascii="Garamond" w:hAnsi="Garamond"/>
        </w:rPr>
        <w:fldChar w:fldCharType="end"/>
      </w:r>
      <w:r w:rsidRPr="00F36D62">
        <w:rPr>
          <w:rFonts w:ascii="Garamond" w:hAnsi="Garamond"/>
          <w:lang w:val="it-IT"/>
        </w:rPr>
        <w:t xml:space="preserve">), I, p. 219; </w:t>
      </w:r>
      <w:r w:rsidRPr="00F36D62">
        <w:rPr>
          <w:rFonts w:ascii="Garamond" w:hAnsi="Garamond"/>
          <w:smallCaps/>
          <w:lang w:val="it-IT"/>
        </w:rPr>
        <w:t>Novoa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3</w:t>
      </w:r>
      <w:r w:rsidRPr="00F36D62">
        <w:rPr>
          <w:rFonts w:ascii="Garamond" w:hAnsi="Garamond"/>
        </w:rPr>
        <w:fldChar w:fldCharType="end"/>
      </w:r>
      <w:r w:rsidRPr="00F36D62">
        <w:rPr>
          <w:rFonts w:ascii="Garamond" w:hAnsi="Garamond"/>
          <w:lang w:val="it-IT"/>
        </w:rPr>
        <w:t xml:space="preserve">), II, pp. 116-117. </w:t>
      </w:r>
      <w:r w:rsidRPr="00F36D62">
        <w:rPr>
          <w:rFonts w:ascii="Garamond" w:hAnsi="Garamond"/>
        </w:rPr>
        <w:t xml:space="preserve">Aunque precedida de un esfuerzo de conceptualización y descartando que sea “posible ofrecer una clasificación de ellas que se encuentre exenta de otro reparo”,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500 (respecto de las agravantes). </w:t>
      </w:r>
    </w:p>
  </w:footnote>
  <w:footnote w:id="9">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Sin identificar fundamentos genéricos, </w:t>
      </w:r>
      <w:r w:rsidRPr="00F36D62">
        <w:rPr>
          <w:rFonts w:ascii="Garamond" w:hAnsi="Garamond"/>
          <w:smallCaps/>
        </w:rPr>
        <w:t>Etcheberry</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82; </w:t>
      </w:r>
      <w:r w:rsidRPr="00F36D62">
        <w:rPr>
          <w:rFonts w:ascii="Garamond" w:hAnsi="Garamond"/>
          <w:smallCaps/>
        </w:rPr>
        <w:t>Garrido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_Ref522287059 \h  \* MERGEFORMAT </w:instrText>
      </w:r>
      <w:r w:rsidRPr="00F36D62">
        <w:rPr>
          <w:rFonts w:ascii="Garamond" w:hAnsi="Garamond"/>
        </w:rPr>
      </w:r>
      <w:r w:rsidRPr="00F36D62">
        <w:rPr>
          <w:rFonts w:ascii="Garamond" w:hAnsi="Garamond"/>
        </w:rPr>
        <w:fldChar w:fldCharType="separate"/>
      </w:r>
      <w:r w:rsidRPr="00F36D62">
        <w:rPr>
          <w:rFonts w:ascii="Garamond" w:hAnsi="Garamond"/>
        </w:rPr>
        <w:t>6</w:t>
      </w:r>
      <w:r w:rsidRPr="00F36D62">
        <w:rPr>
          <w:rFonts w:ascii="Garamond" w:hAnsi="Garamond"/>
        </w:rPr>
        <w:fldChar w:fldCharType="end"/>
      </w:r>
      <w:r w:rsidRPr="00F36D62">
        <w:rPr>
          <w:rFonts w:ascii="Garamond" w:hAnsi="Garamond"/>
        </w:rPr>
        <w:t xml:space="preserve">), I, pp. 182, 206-207, 303; </w:t>
      </w:r>
      <w:r w:rsidRPr="00F36D62">
        <w:rPr>
          <w:rFonts w:ascii="Garamond" w:hAnsi="Garamond"/>
          <w:smallCaps/>
        </w:rPr>
        <w:t>Labatut</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 pp. 194-195, 219, 273-274;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356-358;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pp. 116-117, 238. Subyacen fundamentos a las descripciones que realiza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499-500 y, hasta cierto punto,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356 cit. </w:t>
      </w:r>
      <w:r w:rsidRPr="00F36D62">
        <w:rPr>
          <w:rFonts w:ascii="Garamond" w:hAnsi="Garamond"/>
          <w:i/>
        </w:rPr>
        <w:t>supra</w:t>
      </w:r>
      <w:r w:rsidRPr="00F36D62">
        <w:rPr>
          <w:rFonts w:ascii="Garamond" w:hAnsi="Garamond"/>
        </w:rPr>
        <w:t xml:space="preserve"> n. </w:t>
      </w:r>
      <w:r w:rsidRPr="00F36D62">
        <w:rPr>
          <w:rFonts w:ascii="Garamond" w:hAnsi="Garamond"/>
        </w:rPr>
        <w:fldChar w:fldCharType="begin"/>
      </w:r>
      <w:r w:rsidRPr="00F36D62">
        <w:rPr>
          <w:rFonts w:ascii="Garamond" w:hAnsi="Garamond"/>
        </w:rPr>
        <w:instrText xml:space="preserve"> NOTEREF _Ref521685703 \h  \* MERGEFORMAT </w:instrText>
      </w:r>
      <w:r w:rsidRPr="00F36D62">
        <w:rPr>
          <w:rFonts w:ascii="Garamond" w:hAnsi="Garamond"/>
        </w:rPr>
      </w:r>
      <w:r w:rsidRPr="00F36D62">
        <w:rPr>
          <w:rFonts w:ascii="Garamond" w:hAnsi="Garamond"/>
        </w:rPr>
        <w:fldChar w:fldCharType="separate"/>
      </w:r>
      <w:r w:rsidRPr="00F36D62">
        <w:rPr>
          <w:rFonts w:ascii="Garamond" w:hAnsi="Garamond"/>
        </w:rPr>
        <w:t>7</w:t>
      </w:r>
      <w:r w:rsidRPr="00F36D62">
        <w:rPr>
          <w:rFonts w:ascii="Garamond" w:hAnsi="Garamond"/>
        </w:rPr>
        <w:fldChar w:fldCharType="end"/>
      </w:r>
      <w:r w:rsidRPr="00F36D62">
        <w:rPr>
          <w:rFonts w:ascii="Garamond" w:hAnsi="Garamond"/>
        </w:rPr>
        <w:t xml:space="preserve">. En ocasiones, una alusión genérica al fundamento subyace a la distinción entre persona (incomunicable) y hecho (comunicable); así, </w:t>
      </w:r>
      <w:r w:rsidRPr="00F36D62">
        <w:rPr>
          <w:rFonts w:ascii="Garamond" w:hAnsi="Garamond"/>
          <w:smallCaps/>
        </w:rPr>
        <w:t>Labatut</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 p. 195; sólo por las personales, </w:t>
      </w:r>
      <w:r w:rsidRPr="00F36D62">
        <w:rPr>
          <w:rFonts w:ascii="Garamond" w:hAnsi="Garamond"/>
          <w:smallCaps/>
        </w:rPr>
        <w:t>Etcheberry</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82. La distinción, aunque sin relación con las modificatorias ni con el artículo 64, </w:t>
      </w:r>
      <w:r w:rsidRPr="00F36D62">
        <w:rPr>
          <w:rFonts w:ascii="Garamond" w:hAnsi="Garamond"/>
          <w:smallCaps/>
        </w:rPr>
        <w:t>Mañalich R.</w:t>
      </w:r>
      <w:r w:rsidRPr="00F36D62">
        <w:rPr>
          <w:rFonts w:ascii="Garamond" w:hAnsi="Garamond"/>
        </w:rPr>
        <w:t xml:space="preserve">, Juan Pablo, </w:t>
      </w:r>
      <w:r w:rsidRPr="00F36D62">
        <w:rPr>
          <w:rFonts w:ascii="Garamond" w:hAnsi="Garamond"/>
          <w:i/>
        </w:rPr>
        <w:t>La malversación de caudales públicos y el fraude al fisco como delitos especiales</w:t>
      </w:r>
      <w:r w:rsidRPr="00F36D62">
        <w:rPr>
          <w:rFonts w:ascii="Garamond" w:hAnsi="Garamond"/>
        </w:rPr>
        <w:t xml:space="preserve">, en </w:t>
      </w:r>
      <w:r w:rsidRPr="00F36D62">
        <w:rPr>
          <w:rFonts w:ascii="Garamond" w:hAnsi="Garamond"/>
          <w:i/>
        </w:rPr>
        <w:t>Política Criminal</w:t>
      </w:r>
      <w:r w:rsidRPr="00F36D62">
        <w:rPr>
          <w:rFonts w:ascii="Garamond" w:hAnsi="Garamond"/>
        </w:rPr>
        <w:t xml:space="preserve">, 7 </w:t>
      </w:r>
      <w:r w:rsidRPr="00F36D62">
        <w:rPr>
          <w:rFonts w:ascii="Garamond" w:hAnsi="Garamond"/>
          <w:smallCaps/>
        </w:rPr>
        <w:t>(2012</w:t>
      </w:r>
      <w:r w:rsidRPr="00F36D62">
        <w:rPr>
          <w:rFonts w:ascii="Garamond" w:hAnsi="Garamond"/>
        </w:rPr>
        <w:t xml:space="preserve">), 14, p. 358. La invocación de criterios materiales aparece al clasificar las circunstancias, pero sin construir una formulación general, por ejemplo, al considerar objetiva la atenuante por justificante incompatible en atención a la disminución de la antijuridicidad; cf.,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583-584. Por un fundamento estructural vinculado con el sistema de regulación, </w:t>
      </w:r>
      <w:r w:rsidRPr="00F36D62">
        <w:rPr>
          <w:rFonts w:ascii="Garamond" w:hAnsi="Garamond"/>
          <w:smallCaps/>
        </w:rPr>
        <w:t>Rodríguez Collao</w:t>
      </w:r>
      <w:r w:rsidRPr="00F36D62">
        <w:rPr>
          <w:rFonts w:ascii="Garamond" w:hAnsi="Garamond"/>
        </w:rPr>
        <w:t xml:space="preserve">, </w:t>
      </w:r>
      <w:r w:rsidRPr="00F36D62">
        <w:rPr>
          <w:rFonts w:ascii="Garamond" w:hAnsi="Garamond"/>
          <w:i/>
        </w:rPr>
        <w:t>Naturaleza y fundamento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422, 425. </w:t>
      </w:r>
    </w:p>
  </w:footnote>
  <w:footnote w:id="10">
    <w:p w:rsidR="00306473" w:rsidRPr="00F36D62" w:rsidRDefault="00306473" w:rsidP="00E229F1">
      <w:pPr>
        <w:rPr>
          <w:rFonts w:ascii="Garamond" w:hAnsi="Garamond"/>
          <w:sz w:val="20"/>
          <w:szCs w:val="20"/>
        </w:rPr>
      </w:pPr>
      <w:r w:rsidRPr="00F36D62">
        <w:rPr>
          <w:rStyle w:val="Refdenotaalpie"/>
          <w:rFonts w:ascii="Garamond" w:hAnsi="Garamond"/>
          <w:sz w:val="20"/>
          <w:szCs w:val="20"/>
        </w:rPr>
        <w:footnoteRef/>
      </w:r>
      <w:r w:rsidRPr="00F36D62">
        <w:rPr>
          <w:rFonts w:ascii="Garamond" w:hAnsi="Garamond"/>
          <w:sz w:val="20"/>
          <w:szCs w:val="20"/>
        </w:rPr>
        <w:t xml:space="preserve"> </w:t>
      </w:r>
      <w:r w:rsidRPr="00F36D62">
        <w:rPr>
          <w:rFonts w:ascii="Garamond" w:hAnsi="Garamond"/>
          <w:sz w:val="20"/>
          <w:szCs w:val="20"/>
          <w:lang w:val="es-CL"/>
        </w:rPr>
        <w:t xml:space="preserve">En este sentido, la crítica de </w:t>
      </w:r>
      <w:r w:rsidRPr="00F36D62">
        <w:rPr>
          <w:rFonts w:ascii="Garamond" w:hAnsi="Garamond"/>
          <w:smallCaps/>
          <w:sz w:val="20"/>
          <w:szCs w:val="20"/>
        </w:rPr>
        <w:t>Leiva</w:t>
      </w:r>
      <w:r w:rsidRPr="00F36D62">
        <w:rPr>
          <w:rFonts w:ascii="Garamond" w:hAnsi="Garamond"/>
          <w:sz w:val="20"/>
          <w:szCs w:val="20"/>
        </w:rPr>
        <w:t xml:space="preserve">, cit. (n. </w:t>
      </w:r>
      <w:r w:rsidRPr="00F36D62">
        <w:rPr>
          <w:rFonts w:ascii="Garamond" w:hAnsi="Garamond"/>
          <w:sz w:val="20"/>
          <w:szCs w:val="20"/>
        </w:rPr>
        <w:fldChar w:fldCharType="begin"/>
      </w:r>
      <w:r w:rsidRPr="00F36D62">
        <w:rPr>
          <w:rFonts w:ascii="Garamond" w:hAnsi="Garamond"/>
          <w:sz w:val="20"/>
          <w:szCs w:val="20"/>
        </w:rPr>
        <w:instrText xml:space="preserve"> NOTEREF _Ref7352016 \h  \* MERGEFORMAT </w:instrText>
      </w:r>
      <w:r w:rsidRPr="00F36D62">
        <w:rPr>
          <w:rFonts w:ascii="Garamond" w:hAnsi="Garamond"/>
          <w:sz w:val="20"/>
          <w:szCs w:val="20"/>
        </w:rPr>
      </w:r>
      <w:r w:rsidRPr="00F36D62">
        <w:rPr>
          <w:rFonts w:ascii="Garamond" w:hAnsi="Garamond"/>
          <w:sz w:val="20"/>
          <w:szCs w:val="20"/>
        </w:rPr>
        <w:fldChar w:fldCharType="separate"/>
      </w:r>
      <w:r w:rsidRPr="00F36D62">
        <w:rPr>
          <w:rFonts w:ascii="Garamond" w:hAnsi="Garamond"/>
          <w:sz w:val="20"/>
          <w:szCs w:val="20"/>
        </w:rPr>
        <w:t>3</w:t>
      </w:r>
      <w:r w:rsidRPr="00F36D62">
        <w:rPr>
          <w:rFonts w:ascii="Garamond" w:hAnsi="Garamond"/>
          <w:sz w:val="20"/>
          <w:szCs w:val="20"/>
        </w:rPr>
        <w:fldChar w:fldCharType="end"/>
      </w:r>
      <w:r w:rsidRPr="00F36D62">
        <w:rPr>
          <w:rFonts w:ascii="Garamond" w:hAnsi="Garamond"/>
          <w:sz w:val="20"/>
          <w:szCs w:val="20"/>
        </w:rPr>
        <w:t xml:space="preserve">), pp. 229-230 </w:t>
      </w:r>
      <w:r w:rsidRPr="00F36D62">
        <w:rPr>
          <w:rFonts w:ascii="Garamond" w:hAnsi="Garamond"/>
          <w:sz w:val="20"/>
          <w:szCs w:val="20"/>
          <w:lang w:val="es-CL"/>
        </w:rPr>
        <w:t xml:space="preserve">cit. </w:t>
      </w:r>
      <w:r w:rsidRPr="00F36D62">
        <w:rPr>
          <w:rFonts w:ascii="Garamond" w:hAnsi="Garamond"/>
          <w:i/>
          <w:sz w:val="20"/>
          <w:szCs w:val="20"/>
          <w:lang w:val="es-CL"/>
        </w:rPr>
        <w:t>supra</w:t>
      </w:r>
      <w:r w:rsidRPr="00F36D62">
        <w:rPr>
          <w:rFonts w:ascii="Garamond" w:hAnsi="Garamond"/>
          <w:sz w:val="20"/>
          <w:szCs w:val="20"/>
          <w:lang w:val="es-CL"/>
        </w:rPr>
        <w:t xml:space="preserve"> n. </w:t>
      </w:r>
      <w:r w:rsidRPr="00F36D62">
        <w:rPr>
          <w:rFonts w:ascii="Garamond" w:hAnsi="Garamond"/>
          <w:sz w:val="20"/>
          <w:szCs w:val="20"/>
          <w:lang w:val="es-CL"/>
        </w:rPr>
        <w:fldChar w:fldCharType="begin"/>
      </w:r>
      <w:r w:rsidRPr="00F36D62">
        <w:rPr>
          <w:rFonts w:ascii="Garamond" w:hAnsi="Garamond"/>
          <w:sz w:val="20"/>
          <w:szCs w:val="20"/>
          <w:lang w:val="es-CL"/>
        </w:rPr>
        <w:instrText xml:space="preserve"> NOTEREF _Ref522287059 \h  \* MERGEFORMAT </w:instrText>
      </w:r>
      <w:r w:rsidRPr="00F36D62">
        <w:rPr>
          <w:rFonts w:ascii="Garamond" w:hAnsi="Garamond"/>
          <w:sz w:val="20"/>
          <w:szCs w:val="20"/>
          <w:lang w:val="es-CL"/>
        </w:rPr>
      </w:r>
      <w:r w:rsidRPr="00F36D62">
        <w:rPr>
          <w:rFonts w:ascii="Garamond" w:hAnsi="Garamond"/>
          <w:sz w:val="20"/>
          <w:szCs w:val="20"/>
          <w:lang w:val="es-CL"/>
        </w:rPr>
        <w:fldChar w:fldCharType="separate"/>
      </w:r>
      <w:r w:rsidRPr="00F36D62">
        <w:rPr>
          <w:rFonts w:ascii="Garamond" w:hAnsi="Garamond"/>
          <w:sz w:val="20"/>
          <w:szCs w:val="20"/>
          <w:lang w:val="es-CL"/>
        </w:rPr>
        <w:t>6</w:t>
      </w:r>
      <w:r w:rsidRPr="00F36D62">
        <w:rPr>
          <w:rFonts w:ascii="Garamond" w:hAnsi="Garamond"/>
          <w:sz w:val="20"/>
          <w:szCs w:val="20"/>
          <w:lang w:val="es-CL"/>
        </w:rPr>
        <w:fldChar w:fldCharType="end"/>
      </w:r>
      <w:r w:rsidRPr="00F36D62">
        <w:rPr>
          <w:rFonts w:ascii="Garamond" w:hAnsi="Garamond"/>
          <w:sz w:val="20"/>
          <w:szCs w:val="20"/>
          <w:lang w:val="es-CL"/>
        </w:rPr>
        <w:t xml:space="preserve">. </w:t>
      </w:r>
    </w:p>
  </w:footnote>
  <w:footnote w:id="1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En esta línea, destacando que la ambigüedad de presuponer la solución podría explicar contradicciones y divergencias,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p. 499.</w:t>
      </w:r>
    </w:p>
  </w:footnote>
  <w:footnote w:id="12">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Rodríguez Collao</w:t>
      </w:r>
      <w:r w:rsidRPr="00F36D62">
        <w:rPr>
          <w:rFonts w:ascii="Garamond" w:hAnsi="Garamond"/>
        </w:rPr>
        <w:t xml:space="preserve">, </w:t>
      </w:r>
      <w:r w:rsidRPr="00F36D62">
        <w:rPr>
          <w:rFonts w:ascii="Garamond" w:hAnsi="Garamond"/>
          <w:i/>
        </w:rPr>
        <w:t>Naturaleza y fundamento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425;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499;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356. </w:t>
      </w:r>
    </w:p>
  </w:footnote>
  <w:footnote w:id="13">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Aunque limitadamente si, como afirman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356 la “cláusula analógica […] ha de interpretarse al tenor” de los ejemplos. </w:t>
      </w:r>
    </w:p>
  </w:footnote>
  <w:footnote w:id="14">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Las circunstancias de naturaleza psíquica y anímica son, a nuestro juicio, expresión de esta dimensión del problema. Siguiendo el análisis de </w:t>
      </w:r>
      <w:r w:rsidRPr="00F36D62">
        <w:rPr>
          <w:rFonts w:ascii="Garamond" w:hAnsi="Garamond"/>
          <w:smallCaps/>
        </w:rPr>
        <w:t>Politoff</w:t>
      </w:r>
      <w:r w:rsidRPr="00F36D62">
        <w:rPr>
          <w:rFonts w:ascii="Garamond" w:hAnsi="Garamond"/>
        </w:rPr>
        <w:t xml:space="preserve">, </w:t>
      </w:r>
      <w:r w:rsidRPr="00F36D62">
        <w:rPr>
          <w:rFonts w:ascii="Garamond" w:hAnsi="Garamond"/>
          <w:smallCaps/>
        </w:rPr>
        <w:t>Grisolía</w:t>
      </w:r>
      <w:r w:rsidRPr="00F36D62">
        <w:rPr>
          <w:rFonts w:ascii="Garamond" w:hAnsi="Garamond"/>
        </w:rPr>
        <w:t xml:space="preserve"> </w:t>
      </w:r>
      <w:r w:rsidRPr="00F36D62">
        <w:rPr>
          <w:rFonts w:ascii="Garamond" w:hAnsi="Garamond"/>
          <w:smallCaps/>
        </w:rPr>
        <w:t>y</w:t>
      </w:r>
      <w:r w:rsidRPr="00F36D62">
        <w:rPr>
          <w:rFonts w:ascii="Garamond" w:hAnsi="Garamond"/>
        </w:rPr>
        <w:t xml:space="preserve"> </w:t>
      </w:r>
      <w:r w:rsidRPr="00F36D62">
        <w:rPr>
          <w:rFonts w:ascii="Garamond" w:hAnsi="Garamond"/>
          <w:smallCaps/>
        </w:rPr>
        <w:t>Bustos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98-99 (aunque sin las conclusiones que aquí se alcanzan), el ánimo de lucro en el hurto debiese considerarse una circunstancia personal (disposición moral del delincuente), no obstante lo cual se le comunica al partícipe. Sostener que este ánimo en el hurto no modifica, sino que funda, la responsabilidad, no soluciona el problema de los elementos subjetivos (psicológicos) que determinan una figura calificada, como ocurre con el secuestro o la substracción de menores para obtener un rescate, imponer exigencias o arrancar decisiones de los artículos 141 inciso 3º y 142 Nº 1 (se refieren al segundo delito, </w:t>
      </w:r>
      <w:r w:rsidRPr="00F36D62">
        <w:rPr>
          <w:rFonts w:ascii="Garamond" w:hAnsi="Garamond"/>
          <w:smallCaps/>
        </w:rPr>
        <w:t>Politoff</w:t>
      </w:r>
      <w:r w:rsidRPr="00F36D62">
        <w:rPr>
          <w:rFonts w:ascii="Garamond" w:hAnsi="Garamond"/>
        </w:rPr>
        <w:t xml:space="preserve">, </w:t>
      </w:r>
      <w:r w:rsidRPr="00F36D62">
        <w:rPr>
          <w:rFonts w:ascii="Garamond" w:hAnsi="Garamond"/>
          <w:smallCaps/>
        </w:rPr>
        <w:t>Grisolía</w:t>
      </w:r>
      <w:r w:rsidRPr="00F36D62">
        <w:rPr>
          <w:rFonts w:ascii="Garamond" w:hAnsi="Garamond"/>
        </w:rPr>
        <w:t xml:space="preserve"> </w:t>
      </w:r>
      <w:r w:rsidRPr="00F36D62">
        <w:rPr>
          <w:rFonts w:ascii="Garamond" w:hAnsi="Garamond"/>
          <w:smallCaps/>
        </w:rPr>
        <w:t>y</w:t>
      </w:r>
      <w:r w:rsidRPr="00F36D62">
        <w:rPr>
          <w:rFonts w:ascii="Garamond" w:hAnsi="Garamond"/>
        </w:rPr>
        <w:t xml:space="preserve"> </w:t>
      </w:r>
      <w:r w:rsidRPr="00F36D62">
        <w:rPr>
          <w:rFonts w:ascii="Garamond" w:hAnsi="Garamond"/>
          <w:smallCaps/>
        </w:rPr>
        <w:t>Bustos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99, n. 47). </w:t>
      </w:r>
    </w:p>
  </w:footnote>
  <w:footnote w:id="15">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El Anteproyecto de nuevo Código Penal de 2005 las contemplaba en el artículo 45, con un alcance amplio, en línea con la tendencia doctrinaria imperante entonces. Por su parte, el artículo 80 del Anteproyecto de Código Penal de 2013, así como el artículo 79 del Proyecto de Código Penal de 2014, limitaban su alcance a las circunstancias modificatorias. Por el último, el artículo 73 del Anteproyecto de Código Penal de 2015, es, quizá, el que más se aleja del modelo del artículo 64 vigente, aunque –como se verá– es posible advertir un paralelo con las ideas de “</w:t>
      </w:r>
      <w:r w:rsidRPr="00F36D62">
        <w:rPr>
          <w:rFonts w:ascii="Garamond" w:hAnsi="Garamond"/>
          <w:i/>
        </w:rPr>
        <w:t>otras causa personal</w:t>
      </w:r>
      <w:r w:rsidRPr="00F36D62">
        <w:rPr>
          <w:rFonts w:ascii="Garamond" w:hAnsi="Garamond"/>
        </w:rPr>
        <w:t>” y “</w:t>
      </w:r>
      <w:r w:rsidRPr="00F36D62">
        <w:rPr>
          <w:rFonts w:ascii="Garamond" w:hAnsi="Garamond"/>
          <w:i/>
        </w:rPr>
        <w:t>ejecución material del hecho</w:t>
      </w:r>
      <w:r w:rsidRPr="00F36D62">
        <w:rPr>
          <w:rFonts w:ascii="Garamond" w:hAnsi="Garamond"/>
        </w:rPr>
        <w:t xml:space="preserve">”, así como con el binomio hecho y persona (cf. </w:t>
      </w:r>
      <w:r w:rsidRPr="00F36D62">
        <w:rPr>
          <w:rFonts w:ascii="Garamond" w:hAnsi="Garamond"/>
          <w:i/>
        </w:rPr>
        <w:t>supra</w:t>
      </w:r>
      <w:r w:rsidRPr="00F36D62">
        <w:rPr>
          <w:rFonts w:ascii="Garamond" w:hAnsi="Garamond"/>
        </w:rPr>
        <w:t xml:space="preserve"> n. </w:t>
      </w:r>
      <w:r w:rsidRPr="00F36D62">
        <w:rPr>
          <w:rFonts w:ascii="Garamond" w:hAnsi="Garamond"/>
        </w:rPr>
        <w:fldChar w:fldCharType="begin"/>
      </w:r>
      <w:r w:rsidRPr="00F36D62">
        <w:rPr>
          <w:rFonts w:ascii="Garamond" w:hAnsi="Garamond"/>
        </w:rPr>
        <w:instrText xml:space="preserve"> NOTEREF _Ref522520409 \h  \* MERGEFORMAT </w:instrText>
      </w:r>
      <w:r w:rsidRPr="00F36D62">
        <w:rPr>
          <w:rFonts w:ascii="Garamond" w:hAnsi="Garamond"/>
        </w:rPr>
      </w:r>
      <w:r w:rsidRPr="00F36D62">
        <w:rPr>
          <w:rFonts w:ascii="Garamond" w:hAnsi="Garamond"/>
        </w:rPr>
        <w:fldChar w:fldCharType="separate"/>
      </w:r>
      <w:r w:rsidRPr="00F36D62">
        <w:rPr>
          <w:rFonts w:ascii="Garamond" w:hAnsi="Garamond"/>
        </w:rPr>
        <w:t>9</w:t>
      </w:r>
      <w:r w:rsidRPr="00F36D62">
        <w:rPr>
          <w:rFonts w:ascii="Garamond" w:hAnsi="Garamond"/>
        </w:rPr>
        <w:fldChar w:fldCharType="end"/>
      </w:r>
      <w:r w:rsidRPr="00F36D62">
        <w:rPr>
          <w:rFonts w:ascii="Garamond" w:hAnsi="Garamond"/>
        </w:rPr>
        <w:t xml:space="preserve">), criterios que mantiene el artículo 76 del Anteproyecto de 2018, a pesar de las diferencias que presentan ambas disposiciones. </w:t>
      </w:r>
    </w:p>
  </w:footnote>
  <w:footnote w:id="16">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Artículo 45 del Anteproyecto de 2005 (“</w:t>
      </w:r>
      <w:r w:rsidRPr="00F36D62">
        <w:rPr>
          <w:rFonts w:ascii="Garamond" w:hAnsi="Garamond"/>
          <w:i/>
        </w:rPr>
        <w:t>en disposición moral del sujeto</w:t>
      </w:r>
      <w:r w:rsidRPr="00F36D62">
        <w:rPr>
          <w:rFonts w:ascii="Garamond" w:hAnsi="Garamond"/>
        </w:rPr>
        <w:t xml:space="preserve">”). </w:t>
      </w:r>
    </w:p>
  </w:footnote>
  <w:footnote w:id="17">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Artículo 45 del Anteproyecto de 2005 (“</w:t>
      </w:r>
      <w:r w:rsidRPr="00F36D62">
        <w:rPr>
          <w:rFonts w:ascii="Garamond" w:hAnsi="Garamond"/>
          <w:i/>
        </w:rPr>
        <w:t>sus relaciones particulares con el ofendido</w:t>
      </w:r>
      <w:r w:rsidRPr="00F36D62">
        <w:rPr>
          <w:rFonts w:ascii="Garamond" w:hAnsi="Garamond"/>
        </w:rPr>
        <w:t xml:space="preserve">”). </w:t>
      </w:r>
    </w:p>
  </w:footnote>
  <w:footnote w:id="18">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Artículo 45 del Anteproyecto de 2005 (“</w:t>
      </w:r>
      <w:r w:rsidRPr="00F36D62">
        <w:rPr>
          <w:rFonts w:ascii="Garamond" w:hAnsi="Garamond"/>
          <w:i/>
        </w:rPr>
        <w:t>otra causa personal</w:t>
      </w:r>
      <w:r w:rsidRPr="00F36D62">
        <w:rPr>
          <w:rFonts w:ascii="Garamond" w:hAnsi="Garamond"/>
        </w:rPr>
        <w:t>”); artículos 80 del Anteproyecto de 2013 y 79 del Proyecto de 2014 (las circunstancias que “</w:t>
      </w:r>
      <w:r w:rsidRPr="00F36D62">
        <w:rPr>
          <w:rFonts w:ascii="Garamond" w:hAnsi="Garamond"/>
          <w:i/>
        </w:rPr>
        <w:t>se fundan en causas personales</w:t>
      </w:r>
      <w:r w:rsidRPr="00F36D62">
        <w:rPr>
          <w:rFonts w:ascii="Garamond" w:hAnsi="Garamond"/>
        </w:rPr>
        <w:t>”); artículos 73 y 76 de los Anteproyectos de 2015 y 2018 (circunstancias que “</w:t>
      </w:r>
      <w:r w:rsidRPr="00F36D62">
        <w:rPr>
          <w:rFonts w:ascii="Garamond" w:hAnsi="Garamond"/>
          <w:i/>
        </w:rPr>
        <w:t>conciernen a la persona del responsable</w:t>
      </w:r>
      <w:r w:rsidRPr="00F36D62">
        <w:rPr>
          <w:rFonts w:ascii="Garamond" w:hAnsi="Garamond"/>
        </w:rPr>
        <w:t xml:space="preserve">”). </w:t>
      </w:r>
    </w:p>
  </w:footnote>
  <w:footnote w:id="1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Artículo 45 del Anteproyecto de 2005 (“</w:t>
      </w:r>
      <w:r w:rsidRPr="00F36D62">
        <w:rPr>
          <w:rFonts w:ascii="Garamond" w:hAnsi="Garamond"/>
          <w:i/>
        </w:rPr>
        <w:t>realización material del hecho</w:t>
      </w:r>
      <w:r w:rsidRPr="00F36D62">
        <w:rPr>
          <w:rFonts w:ascii="Garamond" w:hAnsi="Garamond"/>
        </w:rPr>
        <w:t>”); artículos 80 del Anteproyecto de 2013 y 79 del Proyecto de 2014 (circunstancias que “</w:t>
      </w:r>
      <w:r w:rsidRPr="00F36D62">
        <w:rPr>
          <w:rFonts w:ascii="Garamond" w:hAnsi="Garamond"/>
          <w:i/>
        </w:rPr>
        <w:t>consisten en la ejecución material del hecho</w:t>
      </w:r>
      <w:r w:rsidRPr="00F36D62">
        <w:rPr>
          <w:rFonts w:ascii="Garamond" w:hAnsi="Garamond"/>
        </w:rPr>
        <w:t>”); artículos 73 y 76 de los Anteproyectos de 2015 y 2018 (circunstancias que “</w:t>
      </w:r>
      <w:r w:rsidRPr="00F36D62">
        <w:rPr>
          <w:rFonts w:ascii="Garamond" w:hAnsi="Garamond"/>
          <w:i/>
        </w:rPr>
        <w:t>conciernen al hecho</w:t>
      </w:r>
      <w:r w:rsidRPr="00F36D62">
        <w:rPr>
          <w:rFonts w:ascii="Garamond" w:hAnsi="Garamond"/>
        </w:rPr>
        <w:t xml:space="preserve">”). </w:t>
      </w:r>
    </w:p>
  </w:footnote>
  <w:footnote w:id="2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Artículo 45 del Anteproyecto de 2005 (“</w:t>
      </w:r>
      <w:r w:rsidRPr="00F36D62">
        <w:rPr>
          <w:rFonts w:ascii="Garamond" w:hAnsi="Garamond"/>
          <w:i/>
        </w:rPr>
        <w:t>los medios empleados</w:t>
      </w:r>
      <w:r w:rsidRPr="00F36D62">
        <w:rPr>
          <w:rFonts w:ascii="Garamond" w:hAnsi="Garamond"/>
        </w:rPr>
        <w:t>”); artículos 80 del Anteproyecto de 2013 y 79 del Proyecto de 2014 (“</w:t>
      </w:r>
      <w:r w:rsidRPr="00F36D62">
        <w:rPr>
          <w:rFonts w:ascii="Garamond" w:hAnsi="Garamond"/>
          <w:i/>
        </w:rPr>
        <w:t>los medios empleados</w:t>
      </w:r>
      <w:r w:rsidRPr="00F36D62">
        <w:rPr>
          <w:rFonts w:ascii="Garamond" w:hAnsi="Garamond"/>
        </w:rPr>
        <w:t>”); artículos 73 y 76 de los Anteproyectos de 2015 y 2018 (circunstancias que “</w:t>
      </w:r>
      <w:r w:rsidRPr="00F36D62">
        <w:rPr>
          <w:rFonts w:ascii="Garamond" w:hAnsi="Garamond"/>
          <w:i/>
        </w:rPr>
        <w:t xml:space="preserve">conciernen </w:t>
      </w:r>
      <w:r w:rsidRPr="00F36D62">
        <w:rPr>
          <w:rFonts w:ascii="Garamond" w:hAnsi="Garamond"/>
        </w:rPr>
        <w:t>[…]</w:t>
      </w:r>
      <w:r w:rsidRPr="00F36D62">
        <w:rPr>
          <w:rFonts w:ascii="Garamond" w:hAnsi="Garamond"/>
          <w:i/>
        </w:rPr>
        <w:t xml:space="preserve"> a su modo de perpetración </w:t>
      </w:r>
      <w:r w:rsidRPr="00F36D62">
        <w:rPr>
          <w:rFonts w:ascii="Garamond" w:hAnsi="Garamond"/>
        </w:rPr>
        <w:t xml:space="preserve">[del hecho]”). </w:t>
      </w:r>
    </w:p>
  </w:footnote>
  <w:footnote w:id="2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Sin referencias a antecedentes históricos,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579-584;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449-500; </w:t>
      </w:r>
      <w:r w:rsidRPr="00F36D62">
        <w:rPr>
          <w:rFonts w:ascii="Garamond" w:hAnsi="Garamond"/>
          <w:smallCaps/>
        </w:rPr>
        <w:t>Etcheberry</w:t>
      </w:r>
      <w:r w:rsidRPr="00F36D62">
        <w:rPr>
          <w:rFonts w:ascii="Garamond" w:hAnsi="Garamond"/>
        </w:rPr>
        <w:t xml:space="preserve">, cit. </w:t>
      </w:r>
      <w:r w:rsidRPr="00F36D62">
        <w:rPr>
          <w:rFonts w:ascii="Garamond" w:hAnsi="Garamond"/>
          <w:lang w:val="it-IT"/>
        </w:rPr>
        <w:t xml:space="preserve">(n.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3</w:t>
      </w:r>
      <w:r w:rsidRPr="00F36D62">
        <w:rPr>
          <w:rFonts w:ascii="Garamond" w:hAnsi="Garamond"/>
        </w:rPr>
        <w:fldChar w:fldCharType="end"/>
      </w:r>
      <w:r w:rsidRPr="00F36D62">
        <w:rPr>
          <w:rFonts w:ascii="Garamond" w:hAnsi="Garamond"/>
          <w:lang w:val="it-IT"/>
        </w:rPr>
        <w:t xml:space="preserve">), II, pp. </w:t>
      </w:r>
      <w:r w:rsidRPr="00F36D62">
        <w:rPr>
          <w:rFonts w:ascii="Garamond" w:hAnsi="Garamond"/>
          <w:lang w:val="it-IT"/>
        </w:rPr>
        <w:t xml:space="preserve">81-85; </w:t>
      </w:r>
      <w:r w:rsidRPr="00F36D62">
        <w:rPr>
          <w:rFonts w:ascii="Garamond" w:hAnsi="Garamond"/>
          <w:smallCaps/>
          <w:lang w:val="it-IT"/>
        </w:rPr>
        <w:t>Garrido</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_Ref522287059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6</w:t>
      </w:r>
      <w:r w:rsidRPr="00F36D62">
        <w:rPr>
          <w:rFonts w:ascii="Garamond" w:hAnsi="Garamond"/>
        </w:rPr>
        <w:fldChar w:fldCharType="end"/>
      </w:r>
      <w:r w:rsidRPr="00F36D62">
        <w:rPr>
          <w:rFonts w:ascii="Garamond" w:hAnsi="Garamond"/>
          <w:lang w:val="it-IT"/>
        </w:rPr>
        <w:t xml:space="preserve">), I, pp. 182, 206-207, 303; </w:t>
      </w:r>
      <w:r w:rsidRPr="00F36D62">
        <w:rPr>
          <w:rFonts w:ascii="Garamond" w:hAnsi="Garamond"/>
          <w:smallCaps/>
          <w:lang w:val="it-IT"/>
        </w:rPr>
        <w:t>Labatut</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 pp. 194-195, 219, 273-274;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353-358. En cambio, un análisis histórico en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225, aunque atribuyéndole –en contra de lo que se sostiene en el texto– un origen en el Código Penal francés; </w:t>
      </w:r>
      <w:r w:rsidRPr="00F36D62">
        <w:rPr>
          <w:rFonts w:ascii="Garamond" w:hAnsi="Garamond"/>
          <w:i/>
        </w:rPr>
        <w:t>vid. infra</w:t>
      </w:r>
      <w:r w:rsidRPr="00F36D62">
        <w:rPr>
          <w:rFonts w:ascii="Garamond" w:hAnsi="Garamond"/>
        </w:rPr>
        <w:t xml:space="preserve"> n. </w:t>
      </w:r>
      <w:r w:rsidRPr="00F36D62">
        <w:rPr>
          <w:rFonts w:ascii="Garamond" w:hAnsi="Garamond"/>
        </w:rPr>
        <w:fldChar w:fldCharType="begin"/>
      </w:r>
      <w:r w:rsidRPr="00F36D62">
        <w:rPr>
          <w:rFonts w:ascii="Garamond" w:hAnsi="Garamond"/>
        </w:rPr>
        <w:instrText xml:space="preserve"> NOTEREF _Ref522285635 \h  \* MERGEFORMAT </w:instrText>
      </w:r>
      <w:r w:rsidRPr="00F36D62">
        <w:rPr>
          <w:rFonts w:ascii="Garamond" w:hAnsi="Garamond"/>
        </w:rPr>
      </w:r>
      <w:r w:rsidRPr="00F36D62">
        <w:rPr>
          <w:rFonts w:ascii="Garamond" w:hAnsi="Garamond"/>
        </w:rPr>
        <w:fldChar w:fldCharType="separate"/>
      </w:r>
      <w:r w:rsidRPr="00F36D62">
        <w:rPr>
          <w:rFonts w:ascii="Garamond" w:hAnsi="Garamond"/>
        </w:rPr>
        <w:t>57</w:t>
      </w:r>
      <w:r w:rsidRPr="00F36D62">
        <w:rPr>
          <w:rFonts w:ascii="Garamond" w:hAnsi="Garamond"/>
        </w:rPr>
        <w:fldChar w:fldCharType="end"/>
      </w:r>
      <w:r w:rsidRPr="00F36D62">
        <w:rPr>
          <w:rFonts w:ascii="Garamond" w:hAnsi="Garamond"/>
        </w:rPr>
        <w:t xml:space="preserve">. Con una referencia a la actividad de la Comisión Redactora,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118; destacando el vínculo con la legislación española, </w:t>
      </w:r>
      <w:r w:rsidRPr="00F36D62">
        <w:rPr>
          <w:rFonts w:ascii="Garamond" w:hAnsi="Garamond"/>
          <w:smallCaps/>
        </w:rPr>
        <w:t>Grisolía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_Ref7357429 \h  \* MERGEFORMAT </w:instrText>
      </w:r>
      <w:r w:rsidRPr="00F36D62">
        <w:rPr>
          <w:rFonts w:ascii="Garamond" w:hAnsi="Garamond"/>
        </w:rPr>
      </w:r>
      <w:r w:rsidRPr="00F36D62">
        <w:rPr>
          <w:rFonts w:ascii="Garamond" w:hAnsi="Garamond"/>
        </w:rPr>
        <w:fldChar w:fldCharType="separate"/>
      </w:r>
      <w:r w:rsidRPr="00F36D62">
        <w:rPr>
          <w:rFonts w:ascii="Garamond" w:hAnsi="Garamond"/>
        </w:rPr>
        <w:t>4</w:t>
      </w:r>
      <w:r w:rsidRPr="00F36D62">
        <w:rPr>
          <w:rFonts w:ascii="Garamond" w:hAnsi="Garamond"/>
        </w:rPr>
        <w:fldChar w:fldCharType="end"/>
      </w:r>
      <w:r w:rsidRPr="00F36D62">
        <w:rPr>
          <w:rFonts w:ascii="Garamond" w:hAnsi="Garamond"/>
        </w:rPr>
        <w:t xml:space="preserve">), p. 31. En contextos próximos recogen elementos históricos, </w:t>
      </w:r>
      <w:r w:rsidRPr="00F36D62">
        <w:rPr>
          <w:rFonts w:ascii="Garamond" w:hAnsi="Garamond"/>
          <w:smallCaps/>
        </w:rPr>
        <w:t>Politoff</w:t>
      </w:r>
      <w:r w:rsidRPr="00F36D62">
        <w:rPr>
          <w:rFonts w:ascii="Garamond" w:hAnsi="Garamond"/>
        </w:rPr>
        <w:t xml:space="preserve">, </w:t>
      </w:r>
      <w:r w:rsidRPr="00F36D62">
        <w:rPr>
          <w:rFonts w:ascii="Garamond" w:hAnsi="Garamond"/>
          <w:smallCaps/>
        </w:rPr>
        <w:t>Grisolía</w:t>
      </w:r>
      <w:r w:rsidRPr="00F36D62">
        <w:rPr>
          <w:rFonts w:ascii="Garamond" w:hAnsi="Garamond"/>
        </w:rPr>
        <w:t xml:space="preserve"> </w:t>
      </w:r>
      <w:r w:rsidRPr="00F36D62">
        <w:rPr>
          <w:rFonts w:ascii="Garamond" w:hAnsi="Garamond"/>
          <w:smallCaps/>
        </w:rPr>
        <w:t>y</w:t>
      </w:r>
      <w:r w:rsidRPr="00F36D62">
        <w:rPr>
          <w:rFonts w:ascii="Garamond" w:hAnsi="Garamond"/>
        </w:rPr>
        <w:t xml:space="preserve"> </w:t>
      </w:r>
      <w:r w:rsidRPr="00F36D62">
        <w:rPr>
          <w:rFonts w:ascii="Garamond" w:hAnsi="Garamond"/>
          <w:smallCaps/>
        </w:rPr>
        <w:t>Bustos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93, n. 33 (derecho romano, la praxis medioeval y las Partidas en cuanto a la comunicabilidad en el parricidio); </w:t>
      </w:r>
      <w:r w:rsidRPr="00F36D62">
        <w:rPr>
          <w:rFonts w:ascii="Garamond" w:hAnsi="Garamond"/>
          <w:smallCaps/>
        </w:rPr>
        <w:t>Hadwa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_Ref7357429 \h  \* MERGEFORMAT </w:instrText>
      </w:r>
      <w:r w:rsidRPr="00F36D62">
        <w:rPr>
          <w:rFonts w:ascii="Garamond" w:hAnsi="Garamond"/>
        </w:rPr>
      </w:r>
      <w:r w:rsidRPr="00F36D62">
        <w:rPr>
          <w:rFonts w:ascii="Garamond" w:hAnsi="Garamond"/>
        </w:rPr>
        <w:fldChar w:fldCharType="separate"/>
      </w:r>
      <w:r w:rsidRPr="00F36D62">
        <w:rPr>
          <w:rFonts w:ascii="Garamond" w:hAnsi="Garamond"/>
        </w:rPr>
        <w:t>4</w:t>
      </w:r>
      <w:r w:rsidRPr="00F36D62">
        <w:rPr>
          <w:rFonts w:ascii="Garamond" w:hAnsi="Garamond"/>
        </w:rPr>
        <w:fldChar w:fldCharType="end"/>
      </w:r>
      <w:r w:rsidRPr="00F36D62">
        <w:rPr>
          <w:rFonts w:ascii="Garamond" w:hAnsi="Garamond"/>
        </w:rPr>
        <w:t xml:space="preserve">), p. 13 (concepto de </w:t>
      </w:r>
      <w:r w:rsidRPr="00F36D62">
        <w:rPr>
          <w:rFonts w:ascii="Garamond" w:hAnsi="Garamond"/>
          <w:i/>
        </w:rPr>
        <w:t xml:space="preserve">delicta </w:t>
      </w:r>
      <w:proofErr w:type="spellStart"/>
      <w:r w:rsidRPr="00F36D62">
        <w:rPr>
          <w:rFonts w:ascii="Garamond" w:hAnsi="Garamond"/>
          <w:i/>
        </w:rPr>
        <w:t>propria</w:t>
      </w:r>
      <w:proofErr w:type="spellEnd"/>
      <w:r w:rsidRPr="00F36D62">
        <w:rPr>
          <w:rFonts w:ascii="Garamond" w:hAnsi="Garamond"/>
        </w:rPr>
        <w:t xml:space="preserve"> y </w:t>
      </w:r>
      <w:r w:rsidRPr="00F36D62">
        <w:rPr>
          <w:rFonts w:ascii="Garamond" w:hAnsi="Garamond"/>
          <w:i/>
        </w:rPr>
        <w:t>communia</w:t>
      </w:r>
      <w:r w:rsidRPr="00F36D62">
        <w:rPr>
          <w:rFonts w:ascii="Garamond" w:hAnsi="Garamond"/>
        </w:rPr>
        <w:t xml:space="preserve"> en el derecho romano). </w:t>
      </w:r>
    </w:p>
  </w:footnote>
  <w:footnote w:id="22">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Amén del derecho indiano, por ejemplo, </w:t>
      </w:r>
      <w:r w:rsidRPr="00F36D62">
        <w:rPr>
          <w:rFonts w:ascii="Garamond" w:hAnsi="Garamond"/>
          <w:smallCaps/>
        </w:rPr>
        <w:t>Iñesta Pastor</w:t>
      </w:r>
      <w:r w:rsidRPr="00F36D62">
        <w:rPr>
          <w:rFonts w:ascii="Garamond" w:hAnsi="Garamond"/>
        </w:rPr>
        <w:t xml:space="preserve">, Emilia, </w:t>
      </w:r>
      <w:r w:rsidRPr="00F36D62">
        <w:rPr>
          <w:rFonts w:ascii="Garamond" w:hAnsi="Garamond"/>
          <w:i/>
        </w:rPr>
        <w:t>El Código Penal chileno de 1874</w:t>
      </w:r>
      <w:r w:rsidRPr="00F36D62">
        <w:rPr>
          <w:rFonts w:ascii="Garamond" w:hAnsi="Garamond"/>
        </w:rPr>
        <w:t xml:space="preserve">, en </w:t>
      </w:r>
      <w:r w:rsidRPr="00F36D62">
        <w:rPr>
          <w:rFonts w:ascii="Garamond" w:hAnsi="Garamond"/>
          <w:i/>
        </w:rPr>
        <w:t>RChHD</w:t>
      </w:r>
      <w:r w:rsidRPr="00F36D62">
        <w:rPr>
          <w:rFonts w:ascii="Garamond" w:hAnsi="Garamond"/>
        </w:rPr>
        <w:t xml:space="preserve">, 19 (2003), p. 293, apunta, respecto de Hispanoamérica en general, que “España servirá de vehículo indirecto de penetración de las doctrinas penales europeas predominantes en el momento de la independencia, especialmente, el Iluminismo francés y el Utilitarismo inglés de Jeremías Bentham, decisivas para la creación del derecho penal liberal que cristalizó en la Codificación.” Este “vehículo indirecto de penetración” sigue funcionando, si se considera que, tras lo que </w:t>
      </w:r>
      <w:r w:rsidRPr="00F36D62">
        <w:rPr>
          <w:rFonts w:ascii="Garamond" w:hAnsi="Garamond"/>
          <w:smallCaps/>
        </w:rPr>
        <w:t>Matus</w:t>
      </w:r>
      <w:r w:rsidRPr="00F36D62">
        <w:rPr>
          <w:rFonts w:ascii="Garamond" w:hAnsi="Garamond"/>
        </w:rPr>
        <w:t xml:space="preserve">, Jean Pierre, </w:t>
      </w:r>
      <w:r w:rsidRPr="00F36D62">
        <w:rPr>
          <w:rFonts w:ascii="Garamond" w:hAnsi="Garamond"/>
          <w:i/>
        </w:rPr>
        <w:t>Por qué citamos a los alemanes y otros apuntes metodológicos</w:t>
      </w:r>
      <w:r w:rsidRPr="00F36D62">
        <w:rPr>
          <w:rFonts w:ascii="Garamond" w:hAnsi="Garamond"/>
        </w:rPr>
        <w:t xml:space="preserve">, en </w:t>
      </w:r>
      <w:r w:rsidRPr="00F36D62">
        <w:rPr>
          <w:rFonts w:ascii="Garamond" w:hAnsi="Garamond"/>
          <w:i/>
        </w:rPr>
        <w:t>Política Criminal</w:t>
      </w:r>
      <w:r w:rsidRPr="00F36D62">
        <w:rPr>
          <w:rFonts w:ascii="Garamond" w:hAnsi="Garamond"/>
        </w:rPr>
        <w:t xml:space="preserve">, 3 (2008), 5, p. 2 llama “breve dominio del </w:t>
      </w:r>
      <w:r w:rsidRPr="00F36D62">
        <w:rPr>
          <w:rFonts w:ascii="Garamond" w:hAnsi="Garamond"/>
          <w:i/>
        </w:rPr>
        <w:t>positivismo italiano</w:t>
      </w:r>
      <w:r w:rsidRPr="00F36D62">
        <w:rPr>
          <w:rFonts w:ascii="Garamond" w:hAnsi="Garamond"/>
        </w:rPr>
        <w:t xml:space="preserve"> y de la escuela de la </w:t>
      </w:r>
      <w:r w:rsidRPr="00F36D62">
        <w:rPr>
          <w:rFonts w:ascii="Garamond" w:hAnsi="Garamond"/>
          <w:i/>
        </w:rPr>
        <w:t>técnica jurídica</w:t>
      </w:r>
      <w:r w:rsidRPr="00F36D62">
        <w:rPr>
          <w:rFonts w:ascii="Garamond" w:hAnsi="Garamond"/>
        </w:rPr>
        <w:t xml:space="preserve"> de ese país”, se dio paso a “nuestro actual panorama científico [que] se encuentra dominado por la ciencia penal alemana” (</w:t>
      </w:r>
      <w:r w:rsidRPr="00F36D62">
        <w:rPr>
          <w:rFonts w:ascii="Garamond" w:hAnsi="Garamond"/>
          <w:smallCaps/>
        </w:rPr>
        <w:t xml:space="preserve">Carnevali R., </w:t>
      </w:r>
      <w:r w:rsidRPr="00F36D62">
        <w:rPr>
          <w:rFonts w:ascii="Garamond" w:hAnsi="Garamond"/>
        </w:rPr>
        <w:t xml:space="preserve">Raúl, </w:t>
      </w:r>
      <w:r w:rsidRPr="00F36D62">
        <w:rPr>
          <w:rFonts w:ascii="Garamond" w:hAnsi="Garamond"/>
          <w:i/>
        </w:rPr>
        <w:t>La ciencia penal italiana y su influencia en Chile</w:t>
      </w:r>
      <w:r w:rsidRPr="00F36D62">
        <w:rPr>
          <w:rFonts w:ascii="Garamond" w:hAnsi="Garamond"/>
        </w:rPr>
        <w:t xml:space="preserve">, en </w:t>
      </w:r>
      <w:r w:rsidRPr="00F36D62">
        <w:rPr>
          <w:rFonts w:ascii="Garamond" w:hAnsi="Garamond"/>
          <w:i/>
        </w:rPr>
        <w:t>Política Criminal,</w:t>
      </w:r>
      <w:r w:rsidRPr="00F36D62">
        <w:rPr>
          <w:rFonts w:ascii="Garamond" w:hAnsi="Garamond"/>
        </w:rPr>
        <w:t xml:space="preserve"> 3 [2008], 6,  p. 1). Este tránsito se dio de la mano del proceso sufrido en España, donde también “eran fuerte el impacto de la doctrina italiana […], que incluso era superior a la alemana” (</w:t>
      </w:r>
      <w:r w:rsidRPr="00F36D62">
        <w:rPr>
          <w:rFonts w:ascii="Garamond" w:hAnsi="Garamond"/>
          <w:smallCaps/>
        </w:rPr>
        <w:t>Matus</w:t>
      </w:r>
      <w:r w:rsidRPr="00F36D62">
        <w:rPr>
          <w:rFonts w:ascii="Garamond" w:hAnsi="Garamond"/>
        </w:rPr>
        <w:t xml:space="preserve">, </w:t>
      </w:r>
      <w:r w:rsidRPr="00F36D62">
        <w:rPr>
          <w:rFonts w:ascii="Garamond" w:hAnsi="Garamond"/>
          <w:i/>
        </w:rPr>
        <w:t>Por qué citamos a los alemanes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p. 2). Por ello, “no resulta exagerado afirmar que nuestra proximidad a Alemania se debe, en no pocos casos, a los teóricos españoles” (</w:t>
      </w:r>
      <w:r w:rsidRPr="00F36D62">
        <w:rPr>
          <w:rFonts w:ascii="Garamond" w:hAnsi="Garamond"/>
          <w:smallCaps/>
        </w:rPr>
        <w:t>Carnevali</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2, n. 4). </w:t>
      </w:r>
    </w:p>
  </w:footnote>
  <w:footnote w:id="23">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pp. 295-296. </w:t>
      </w:r>
    </w:p>
  </w:footnote>
  <w:footnote w:id="24">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 y Rivacoba</w:t>
      </w:r>
      <w:r w:rsidRPr="00F36D62">
        <w:rPr>
          <w:rFonts w:ascii="Garamond" w:hAnsi="Garamond"/>
        </w:rPr>
        <w:t xml:space="preserve">, Manuel de, </w:t>
      </w:r>
      <w:r w:rsidRPr="00F36D62">
        <w:rPr>
          <w:rFonts w:ascii="Garamond" w:hAnsi="Garamond"/>
          <w:i/>
        </w:rPr>
        <w:t>Estudio preliminar</w:t>
      </w:r>
      <w:r w:rsidRPr="00F36D62">
        <w:rPr>
          <w:rFonts w:ascii="Garamond" w:hAnsi="Garamond"/>
        </w:rPr>
        <w:t xml:space="preserve">, en </w:t>
      </w:r>
      <w:r w:rsidRPr="00F36D62">
        <w:rPr>
          <w:rFonts w:ascii="Garamond" w:hAnsi="Garamond"/>
          <w:smallCaps/>
        </w:rPr>
        <w:t>Rivacoba y Rivacoba</w:t>
      </w:r>
      <w:r w:rsidRPr="00F36D62">
        <w:rPr>
          <w:rFonts w:ascii="Garamond" w:hAnsi="Garamond"/>
        </w:rPr>
        <w:t xml:space="preserve">, Manuel de (director), </w:t>
      </w:r>
      <w:r w:rsidRPr="00F36D62">
        <w:rPr>
          <w:rFonts w:ascii="Garamond" w:hAnsi="Garamond"/>
          <w:i/>
        </w:rPr>
        <w:t>Código Penal de la República de Chile y Actas de las sesiones de la Comisión Redactora</w:t>
      </w:r>
      <w:r w:rsidRPr="00F36D62">
        <w:rPr>
          <w:rFonts w:ascii="Garamond" w:hAnsi="Garamond"/>
        </w:rPr>
        <w:t xml:space="preserve"> (Valparaíso, Edeval, 1974), p. IX. Así también, </w:t>
      </w:r>
      <w:r w:rsidRPr="00F36D62">
        <w:rPr>
          <w:rFonts w:ascii="Garamond" w:hAnsi="Garamond"/>
          <w:smallCaps/>
        </w:rPr>
        <w:t>Peña Wassaf</w:t>
      </w:r>
      <w:r w:rsidRPr="00F36D62">
        <w:rPr>
          <w:rFonts w:ascii="Garamond" w:hAnsi="Garamond"/>
        </w:rPr>
        <w:t xml:space="preserve">, Silvia, </w:t>
      </w:r>
      <w:r w:rsidRPr="00F36D62">
        <w:rPr>
          <w:rFonts w:ascii="Garamond" w:hAnsi="Garamond"/>
          <w:i/>
        </w:rPr>
        <w:t>Las raíces histórico-culturales del Derecho Penal chileno</w:t>
      </w:r>
      <w:r w:rsidRPr="00F36D62">
        <w:rPr>
          <w:rFonts w:ascii="Garamond" w:hAnsi="Garamond"/>
        </w:rPr>
        <w:t xml:space="preserve">, en </w:t>
      </w:r>
      <w:r w:rsidRPr="00F36D62">
        <w:rPr>
          <w:rFonts w:ascii="Garamond" w:hAnsi="Garamond"/>
          <w:i/>
        </w:rPr>
        <w:t>REHJ</w:t>
      </w:r>
      <w:r w:rsidRPr="00F36D62">
        <w:rPr>
          <w:rFonts w:ascii="Garamond" w:hAnsi="Garamond"/>
        </w:rPr>
        <w:t>, 7 (1982), pp. 308-309.</w:t>
      </w:r>
    </w:p>
  </w:footnote>
  <w:footnote w:id="25">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298: “no siguió la regla de codificar primero el derecho penal ya que se redactaron primero el </w:t>
      </w:r>
      <w:r w:rsidRPr="00F36D62">
        <w:rPr>
          <w:rFonts w:ascii="Garamond" w:hAnsi="Garamond"/>
          <w:i/>
        </w:rPr>
        <w:t>Código Civil</w:t>
      </w:r>
      <w:r w:rsidRPr="00F36D62">
        <w:rPr>
          <w:rFonts w:ascii="Garamond" w:hAnsi="Garamond"/>
        </w:rPr>
        <w:t xml:space="preserve">, promulgado el 14 de diciembre de 1855 y el </w:t>
      </w:r>
      <w:r w:rsidRPr="00F36D62">
        <w:rPr>
          <w:rFonts w:ascii="Garamond" w:hAnsi="Garamond"/>
          <w:i/>
        </w:rPr>
        <w:t>Código de Comercio</w:t>
      </w:r>
      <w:r w:rsidRPr="00F36D62">
        <w:rPr>
          <w:rFonts w:ascii="Garamond" w:hAnsi="Garamond"/>
        </w:rPr>
        <w:t>, de 23 de noviembre de 1865” (los destacados en el original, como todos los que se incluyen los textos citados, salvo expresa mención en contrario).</w:t>
      </w:r>
    </w:p>
  </w:footnote>
  <w:footnote w:id="2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Cf.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p. X.</w:t>
      </w:r>
    </w:p>
  </w:footnote>
  <w:footnote w:id="2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Cf.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pp. XI-XII;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pp. 300-302.</w:t>
      </w:r>
    </w:p>
  </w:footnote>
  <w:footnote w:id="2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XIV. </w:t>
      </w:r>
    </w:p>
  </w:footnote>
  <w:footnote w:id="29">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Aunque la última sesión está numerada como la 175ª, en realidad la sesión 118 no se realizó; cf.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303. </w:t>
      </w:r>
    </w:p>
  </w:footnote>
  <w:footnote w:id="30">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Cf.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p. XIX.</w:t>
      </w:r>
    </w:p>
  </w:footnote>
  <w:footnote w:id="3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p. 304.</w:t>
      </w:r>
    </w:p>
  </w:footnote>
  <w:footnote w:id="32">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304, con cita a </w:t>
      </w:r>
      <w:r w:rsidRPr="00F36D62">
        <w:rPr>
          <w:rFonts w:ascii="Garamond" w:hAnsi="Garamond"/>
          <w:smallCaps/>
        </w:rPr>
        <w:t>Novoa Monreal</w:t>
      </w:r>
      <w:r w:rsidRPr="00F36D62">
        <w:rPr>
          <w:rFonts w:ascii="Garamond" w:hAnsi="Garamond"/>
        </w:rPr>
        <w:t xml:space="preserve">, Eduardo, </w:t>
      </w:r>
      <w:r w:rsidRPr="00F36D62">
        <w:rPr>
          <w:rFonts w:ascii="Garamond" w:hAnsi="Garamond"/>
          <w:i/>
        </w:rPr>
        <w:t>Curso de Derecho Penal chileno</w:t>
      </w:r>
      <w:r w:rsidRPr="00F36D62">
        <w:rPr>
          <w:rFonts w:ascii="Garamond" w:hAnsi="Garamond"/>
        </w:rPr>
        <w:t>, (Santiago, Editorial Jurídica de Chile, 1960), I, p. 106.</w:t>
      </w:r>
    </w:p>
  </w:footnote>
  <w:footnote w:id="33">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De hecho, Manuel Carvallo, ministro de Chile en ese país, “tradujo al castellano el Código penal belga, […] por orden del Gobierno, que hizo publicar su versión en Santiago por la Imprenta Nacional, el año 1868, en un volumen de 208 páginas”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p. XII). Fue también autor del llamado Proyecto de Carvallo que quedó inconcluso a su muerte (</w:t>
      </w:r>
      <w:r w:rsidRPr="00F36D62">
        <w:rPr>
          <w:rFonts w:ascii="Garamond" w:hAnsi="Garamond"/>
          <w:i/>
        </w:rPr>
        <w:t>vid. ibidem</w:t>
      </w:r>
      <w:r w:rsidRPr="00F36D62">
        <w:rPr>
          <w:rFonts w:ascii="Garamond" w:hAnsi="Garamond"/>
        </w:rPr>
        <w:t xml:space="preserve">). </w:t>
      </w:r>
      <w:r w:rsidRPr="00F36D62">
        <w:rPr>
          <w:rFonts w:ascii="Garamond" w:hAnsi="Garamond"/>
          <w:i/>
        </w:rPr>
        <w:t>Vid.</w:t>
      </w:r>
      <w:r w:rsidRPr="00F36D62">
        <w:rPr>
          <w:rFonts w:ascii="Garamond" w:hAnsi="Garamond"/>
        </w:rPr>
        <w:t xml:space="preserve"> también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302; </w:t>
      </w:r>
      <w:r w:rsidRPr="00F36D62">
        <w:rPr>
          <w:rFonts w:ascii="Garamond" w:hAnsi="Garamond"/>
          <w:smallCaps/>
        </w:rPr>
        <w:t>Peña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309. </w:t>
      </w:r>
    </w:p>
  </w:footnote>
  <w:footnote w:id="34">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p. 306.</w:t>
      </w:r>
    </w:p>
  </w:footnote>
  <w:footnote w:id="35">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p. XVII.</w:t>
      </w:r>
    </w:p>
  </w:footnote>
  <w:footnote w:id="3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306. Similar, aunque respecto del Código francés de 1810, </w:t>
      </w:r>
      <w:r w:rsidRPr="00F36D62">
        <w:rPr>
          <w:rFonts w:ascii="Garamond" w:hAnsi="Garamond"/>
          <w:smallCaps/>
        </w:rPr>
        <w:t>Peña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311. En loa de la decisión de los comisionados, </w:t>
      </w:r>
      <w:r w:rsidRPr="00F36D62">
        <w:rPr>
          <w:rFonts w:ascii="Garamond" w:hAnsi="Garamond"/>
          <w:smallCaps/>
        </w:rPr>
        <w:t>Jiménez de Asúa</w:t>
      </w:r>
      <w:r w:rsidRPr="00F36D62">
        <w:rPr>
          <w:rFonts w:ascii="Garamond" w:hAnsi="Garamond"/>
        </w:rPr>
        <w:t xml:space="preserve">, Luis, </w:t>
      </w:r>
      <w:r w:rsidRPr="00F36D62">
        <w:rPr>
          <w:rFonts w:ascii="Garamond" w:hAnsi="Garamond"/>
          <w:i/>
        </w:rPr>
        <w:t>Tratado de Derecho Penal</w:t>
      </w:r>
      <w:r w:rsidRPr="00F36D62">
        <w:rPr>
          <w:rFonts w:ascii="Garamond" w:hAnsi="Garamond"/>
        </w:rPr>
        <w:t xml:space="preserve"> (1950, 4ª edición, Buenos Aires, Editorial Losada S.A., 1964), I, p. 1166, destaca que “[e]l Código de Bélgica todavía enclavaba la legítima defensa, como homicidio justificado […], al igual que los viejos Códigos […] mientras el español había hecho ya de ella un instituto de la Parte general.” Este y otros ejemplos en </w:t>
      </w:r>
      <w:r w:rsidRPr="00F36D62">
        <w:rPr>
          <w:rFonts w:ascii="Garamond" w:hAnsi="Garamond"/>
          <w:smallCaps/>
        </w:rPr>
        <w:t>Peña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p. 311.</w:t>
      </w:r>
    </w:p>
  </w:footnote>
  <w:footnote w:id="3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306. Similar, </w:t>
      </w:r>
      <w:r w:rsidRPr="00F36D62">
        <w:rPr>
          <w:rFonts w:ascii="Garamond" w:hAnsi="Garamond"/>
          <w:smallCaps/>
        </w:rPr>
        <w:t>Peña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314, aunque destacando que nuestro código “no es una simple copia del español”. </w:t>
      </w:r>
    </w:p>
  </w:footnote>
  <w:footnote w:id="38">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w:t>
      </w:r>
      <w:r w:rsidRPr="00F36D62">
        <w:rPr>
          <w:rFonts w:ascii="Garamond" w:hAnsi="Garamond"/>
        </w:rPr>
        <w:t xml:space="preserve">, </w:t>
      </w:r>
      <w:r w:rsidRPr="00F36D62">
        <w:rPr>
          <w:rFonts w:ascii="Garamond" w:hAnsi="Garamond"/>
          <w:i/>
        </w:rPr>
        <w:t>Estudio preliminar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XII.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w:t>
      </w:r>
      <w:r w:rsidRPr="00F36D62">
        <w:rPr>
          <w:rFonts w:ascii="Garamond" w:hAnsi="Garamond"/>
          <w:lang w:val="es-CL"/>
        </w:rPr>
        <w:t xml:space="preserve">p. 306 destaca que durante el proceso de redacción en España había surgido un nuevo código (1970), el que, en su opinión, “los comisionados no desconocían […], si bien ninguna de sus disposiciones pasaron al chileno” (p. 307). </w:t>
      </w:r>
    </w:p>
  </w:footnote>
  <w:footnote w:id="3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Etcheberry</w:t>
      </w:r>
      <w:r w:rsidRPr="00F36D62">
        <w:rPr>
          <w:rFonts w:ascii="Garamond" w:hAnsi="Garamond"/>
          <w:lang w:val="es-CL"/>
        </w:rPr>
        <w:t xml:space="preserve">, Alfredo, </w:t>
      </w:r>
      <w:r w:rsidRPr="00F36D62">
        <w:rPr>
          <w:rFonts w:ascii="Garamond" w:hAnsi="Garamond"/>
          <w:i/>
          <w:lang w:val="es-CL"/>
        </w:rPr>
        <w:t>Derecho Penal</w:t>
      </w:r>
      <w:r w:rsidRPr="00F36D62">
        <w:rPr>
          <w:rFonts w:ascii="Garamond" w:hAnsi="Garamond"/>
          <w:lang w:val="es-CL"/>
        </w:rPr>
        <w:t xml:space="preserve">, I: </w:t>
      </w:r>
      <w:r w:rsidRPr="00F36D62">
        <w:rPr>
          <w:rFonts w:ascii="Garamond" w:hAnsi="Garamond"/>
          <w:i/>
          <w:lang w:val="es-CL"/>
        </w:rPr>
        <w:t>Parte general</w:t>
      </w:r>
      <w:r w:rsidRPr="00F36D62">
        <w:rPr>
          <w:rFonts w:ascii="Garamond" w:hAnsi="Garamond"/>
          <w:lang w:val="es-CL"/>
        </w:rPr>
        <w:t xml:space="preserve"> (1964, reimp. 2010, 3ª edición, Santiago, Editorial Jurídica de Chile, 1998), p. 47. </w:t>
      </w:r>
    </w:p>
  </w:footnote>
  <w:footnote w:id="4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n-US"/>
        </w:rPr>
        <w:t xml:space="preserve"> </w:t>
      </w:r>
      <w:r w:rsidRPr="00F36D62">
        <w:rPr>
          <w:rFonts w:ascii="Garamond" w:hAnsi="Garamond"/>
          <w:smallCaps/>
          <w:lang w:val="en-US"/>
        </w:rPr>
        <w:t>Etcheberry</w:t>
      </w:r>
      <w:r w:rsidRPr="00F36D62">
        <w:rPr>
          <w:rFonts w:ascii="Garamond" w:hAnsi="Garamond"/>
          <w:lang w:val="en-US"/>
        </w:rPr>
        <w:t xml:space="preserve">, cit. (n. </w:t>
      </w:r>
      <w:r w:rsidRPr="00F36D62">
        <w:rPr>
          <w:rFonts w:ascii="Garamond" w:hAnsi="Garamond"/>
          <w:lang w:val="en-US"/>
        </w:rPr>
        <w:fldChar w:fldCharType="begin"/>
      </w:r>
      <w:r w:rsidRPr="00F36D62">
        <w:rPr>
          <w:rFonts w:ascii="Garamond" w:hAnsi="Garamond"/>
          <w:lang w:val="en-US"/>
        </w:rPr>
        <w:instrText xml:space="preserve"> NOTEREF _Ref7368044 \h  \* MERGEFORMAT </w:instrText>
      </w:r>
      <w:r w:rsidRPr="00F36D62">
        <w:rPr>
          <w:rFonts w:ascii="Garamond" w:hAnsi="Garamond"/>
          <w:lang w:val="en-US"/>
        </w:rPr>
      </w:r>
      <w:r w:rsidRPr="00F36D62">
        <w:rPr>
          <w:rFonts w:ascii="Garamond" w:hAnsi="Garamond"/>
          <w:lang w:val="en-US"/>
        </w:rPr>
        <w:fldChar w:fldCharType="separate"/>
      </w:r>
      <w:r w:rsidRPr="00F36D62">
        <w:rPr>
          <w:rFonts w:ascii="Garamond" w:hAnsi="Garamond"/>
          <w:lang w:val="en-US"/>
        </w:rPr>
        <w:t>39</w:t>
      </w:r>
      <w:r w:rsidRPr="00F36D62">
        <w:rPr>
          <w:rFonts w:ascii="Garamond" w:hAnsi="Garamond"/>
          <w:lang w:val="en-US"/>
        </w:rPr>
        <w:fldChar w:fldCharType="end"/>
      </w:r>
      <w:r w:rsidRPr="00F36D62">
        <w:rPr>
          <w:rFonts w:ascii="Garamond" w:hAnsi="Garamond"/>
          <w:lang w:val="en-US"/>
        </w:rPr>
        <w:t xml:space="preserve">), I, p. 47. </w:t>
      </w:r>
      <w:r w:rsidRPr="00F36D62">
        <w:rPr>
          <w:rFonts w:ascii="Garamond" w:hAnsi="Garamond"/>
        </w:rPr>
        <w:t xml:space="preserve">Una difundida opinión le atribuye Pacheco un papel principal en la redacción del Código de 1848. Así, </w:t>
      </w:r>
      <w:r w:rsidRPr="00F36D62">
        <w:rPr>
          <w:rFonts w:ascii="Garamond" w:hAnsi="Garamond"/>
          <w:smallCaps/>
        </w:rPr>
        <w:t>Jiménez de Asúa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_Ref10120184 \h  \* MERGEFORMAT </w:instrText>
      </w:r>
      <w:r w:rsidRPr="00F36D62">
        <w:rPr>
          <w:rFonts w:ascii="Garamond" w:hAnsi="Garamond"/>
        </w:rPr>
      </w:r>
      <w:r w:rsidRPr="00F36D62">
        <w:rPr>
          <w:rFonts w:ascii="Garamond" w:hAnsi="Garamond"/>
        </w:rPr>
        <w:fldChar w:fldCharType="separate"/>
      </w:r>
      <w:r w:rsidRPr="00F36D62">
        <w:rPr>
          <w:rFonts w:ascii="Garamond" w:hAnsi="Garamond"/>
        </w:rPr>
        <w:t>36</w:t>
      </w:r>
      <w:r w:rsidRPr="00F36D62">
        <w:rPr>
          <w:rFonts w:ascii="Garamond" w:hAnsi="Garamond"/>
        </w:rPr>
        <w:fldChar w:fldCharType="end"/>
      </w:r>
      <w:r w:rsidRPr="00F36D62">
        <w:rPr>
          <w:rFonts w:ascii="Garamond" w:hAnsi="Garamond"/>
        </w:rPr>
        <w:t>), I, pp. 861, 760 lo presenta como</w:t>
      </w:r>
      <w:r w:rsidRPr="00F36D62">
        <w:t xml:space="preserve"> </w:t>
      </w:r>
      <w:r w:rsidRPr="00F36D62">
        <w:rPr>
          <w:rFonts w:ascii="Garamond" w:hAnsi="Garamond"/>
        </w:rPr>
        <w:t xml:space="preserve">“el autor más destacado y principal del Código de 1848” y “su principal redactor”. Sin embargo, la opinión actual rechaza esta afirmación: así, </w:t>
      </w:r>
      <w:r w:rsidRPr="00F36D62">
        <w:rPr>
          <w:rFonts w:ascii="Garamond" w:hAnsi="Garamond"/>
          <w:smallCaps/>
        </w:rPr>
        <w:t>Hierrezuelo Conde</w:t>
      </w:r>
      <w:r w:rsidRPr="00F36D62">
        <w:rPr>
          <w:rFonts w:ascii="Garamond" w:hAnsi="Garamond"/>
        </w:rPr>
        <w:t xml:space="preserve">, Guillermo, </w:t>
      </w:r>
      <w:r w:rsidRPr="00F36D62">
        <w:rPr>
          <w:rFonts w:ascii="Garamond" w:hAnsi="Garamond"/>
          <w:i/>
        </w:rPr>
        <w:t>Recensión. Iñesta Pastor, Emilia,</w:t>
      </w:r>
      <w:r w:rsidRPr="00F36D62">
        <w:rPr>
          <w:rFonts w:ascii="Garamond" w:hAnsi="Garamond"/>
        </w:rPr>
        <w:t xml:space="preserve"> El Código Penal español de 1848</w:t>
      </w:r>
      <w:r w:rsidRPr="00F36D62">
        <w:rPr>
          <w:rFonts w:ascii="Garamond" w:hAnsi="Garamond"/>
          <w:i/>
        </w:rPr>
        <w:t xml:space="preserve"> (Valencia, Tirant lo Blanch, 2011), 935 pp.</w:t>
      </w:r>
      <w:r w:rsidRPr="00F36D62">
        <w:rPr>
          <w:rFonts w:ascii="Garamond" w:hAnsi="Garamond"/>
        </w:rPr>
        <w:t xml:space="preserve">, en </w:t>
      </w:r>
      <w:r w:rsidRPr="00F36D62">
        <w:rPr>
          <w:rFonts w:ascii="Garamond" w:hAnsi="Garamond"/>
          <w:i/>
        </w:rPr>
        <w:t>REHJ</w:t>
      </w:r>
      <w:r w:rsidRPr="00F36D62">
        <w:rPr>
          <w:rFonts w:ascii="Garamond" w:hAnsi="Garamond"/>
        </w:rPr>
        <w:t xml:space="preserve">, XXXIII (2011), p. 703 afirma que “[n]umerosos autores han exagerado la participación de Joaquín Francisco Pacheco Gutiérrez en la elaboración de este código, pero en realidad tal paternidad fue consecuencia del enorme prestigio alcanzado por éste, con posterioridad […], por sus comentarios”, habiendo antes indicado que “se puede afirmar que el código de 1848 fue al menos obra de dos individuos, Manuel Seijas Lozano y José María Clarós”. Así también, </w:t>
      </w:r>
      <w:r w:rsidRPr="00F36D62">
        <w:rPr>
          <w:rFonts w:ascii="Garamond" w:hAnsi="Garamond"/>
          <w:smallCaps/>
        </w:rPr>
        <w:t>Peña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_Ref7365948 \h  \* MERGEFORMAT </w:instrText>
      </w:r>
      <w:r w:rsidRPr="00F36D62">
        <w:rPr>
          <w:rFonts w:ascii="Garamond" w:hAnsi="Garamond"/>
        </w:rPr>
      </w:r>
      <w:r w:rsidRPr="00F36D62">
        <w:rPr>
          <w:rFonts w:ascii="Garamond" w:hAnsi="Garamond"/>
        </w:rPr>
        <w:fldChar w:fldCharType="separate"/>
      </w:r>
      <w:r w:rsidRPr="00F36D62">
        <w:rPr>
          <w:rFonts w:ascii="Garamond" w:hAnsi="Garamond"/>
        </w:rPr>
        <w:t>24</w:t>
      </w:r>
      <w:r w:rsidRPr="00F36D62">
        <w:rPr>
          <w:rFonts w:ascii="Garamond" w:hAnsi="Garamond"/>
        </w:rPr>
        <w:fldChar w:fldCharType="end"/>
      </w:r>
      <w:r w:rsidRPr="00F36D62">
        <w:rPr>
          <w:rFonts w:ascii="Garamond" w:hAnsi="Garamond"/>
        </w:rPr>
        <w:t xml:space="preserve">), p. 313 n. 46; y, con detalle, </w:t>
      </w:r>
      <w:r w:rsidRPr="00F36D62">
        <w:rPr>
          <w:rFonts w:ascii="Garamond" w:hAnsi="Garamond"/>
          <w:smallCaps/>
        </w:rPr>
        <w:t>Iñesta Pastor</w:t>
      </w:r>
      <w:r w:rsidRPr="00F36D62">
        <w:rPr>
          <w:rFonts w:ascii="Garamond" w:hAnsi="Garamond"/>
        </w:rPr>
        <w:t xml:space="preserve">, Emilia, </w:t>
      </w:r>
      <w:r w:rsidRPr="00F36D62">
        <w:rPr>
          <w:rFonts w:ascii="Garamond" w:hAnsi="Garamond"/>
          <w:i/>
        </w:rPr>
        <w:t>El Código Penal español de 1848</w:t>
      </w:r>
      <w:r w:rsidRPr="00F36D62">
        <w:rPr>
          <w:rFonts w:ascii="Garamond" w:hAnsi="Garamond"/>
        </w:rPr>
        <w:t>, (Valencia, Tirant lo Blanch, 2011), pp. 257-262.</w:t>
      </w:r>
    </w:p>
  </w:footnote>
  <w:footnote w:id="41">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Guzmán Dalbora</w:t>
      </w:r>
      <w:r w:rsidRPr="00F36D62">
        <w:rPr>
          <w:rFonts w:ascii="Garamond" w:hAnsi="Garamond"/>
          <w:lang w:val="es-CL"/>
        </w:rPr>
        <w:t xml:space="preserve">, José Luis, </w:t>
      </w:r>
      <w:r w:rsidRPr="00F36D62">
        <w:rPr>
          <w:rFonts w:ascii="Garamond" w:hAnsi="Garamond"/>
          <w:i/>
          <w:lang w:val="es-CL"/>
        </w:rPr>
        <w:t>Reseña histórica de la codificación penal y procesal penal en Chile</w:t>
      </w:r>
      <w:r w:rsidRPr="00F36D62">
        <w:rPr>
          <w:rFonts w:ascii="Garamond" w:hAnsi="Garamond"/>
          <w:lang w:val="es-CL"/>
        </w:rPr>
        <w:t xml:space="preserve">, en </w:t>
      </w:r>
      <w:r w:rsidRPr="00F36D62">
        <w:rPr>
          <w:rFonts w:ascii="Garamond" w:hAnsi="Garamond"/>
          <w:smallCaps/>
        </w:rPr>
        <w:t>Mañalich R.</w:t>
      </w:r>
      <w:r w:rsidRPr="00F36D62">
        <w:rPr>
          <w:rFonts w:ascii="Garamond" w:hAnsi="Garamond"/>
        </w:rPr>
        <w:t xml:space="preserve">, Juan Pablo (coordinador), </w:t>
      </w:r>
      <w:r w:rsidRPr="00F36D62">
        <w:rPr>
          <w:rFonts w:ascii="Garamond" w:hAnsi="Garamond"/>
          <w:i/>
        </w:rPr>
        <w:t>La ciencia penal en la Universidad de Chile. Libro homenaje a los profesores del Departamento de Ciencias Penales de la Facultad de Derecho de la Universidad de Chile</w:t>
      </w:r>
      <w:r w:rsidRPr="00F36D62">
        <w:rPr>
          <w:rFonts w:ascii="Garamond" w:hAnsi="Garamond"/>
        </w:rPr>
        <w:t xml:space="preserve"> (Santiago, </w:t>
      </w:r>
      <w:r w:rsidRPr="00F36D62">
        <w:rPr>
          <w:rFonts w:ascii="Garamond" w:hAnsi="Garamond"/>
          <w:lang w:val="es-CL"/>
        </w:rPr>
        <w:t>2013</w:t>
      </w:r>
      <w:r w:rsidRPr="00F36D62">
        <w:rPr>
          <w:rFonts w:ascii="Garamond" w:hAnsi="Garamond"/>
        </w:rPr>
        <w:t xml:space="preserve">), </w:t>
      </w:r>
      <w:r w:rsidRPr="00F36D62">
        <w:rPr>
          <w:rFonts w:ascii="Garamond" w:hAnsi="Garamond"/>
          <w:lang w:val="es-CL"/>
        </w:rPr>
        <w:t xml:space="preserve">p. 107. </w:t>
      </w:r>
    </w:p>
  </w:footnote>
  <w:footnote w:id="42">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lang w:val="es-CL"/>
        </w:rPr>
        <w:t>Guzmán Dalbora</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_Ref7368449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41</w:t>
      </w:r>
      <w:r w:rsidRPr="00F36D62">
        <w:rPr>
          <w:rFonts w:ascii="Garamond" w:hAnsi="Garamond"/>
          <w:lang w:val="es-CL"/>
        </w:rPr>
        <w:fldChar w:fldCharType="end"/>
      </w:r>
      <w:r w:rsidRPr="00F36D62">
        <w:rPr>
          <w:rFonts w:ascii="Garamond" w:hAnsi="Garamond"/>
          <w:lang w:val="es-CL"/>
        </w:rPr>
        <w:t xml:space="preserve">), p. 107. </w:t>
      </w:r>
    </w:p>
  </w:footnote>
  <w:footnote w:id="43">
    <w:p w:rsidR="00306473" w:rsidRPr="00F36D62" w:rsidRDefault="00306473" w:rsidP="00E229F1">
      <w:pPr>
        <w:rPr>
          <w:rFonts w:ascii="Garamond" w:hAnsi="Garamond"/>
          <w:sz w:val="20"/>
          <w:szCs w:val="20"/>
          <w:lang w:val="es-CL"/>
        </w:rPr>
      </w:pPr>
      <w:r w:rsidRPr="00F36D62">
        <w:rPr>
          <w:rStyle w:val="Refdenotaalpie"/>
          <w:rFonts w:ascii="Garamond" w:hAnsi="Garamond"/>
          <w:sz w:val="20"/>
          <w:szCs w:val="20"/>
        </w:rPr>
        <w:footnoteRef/>
      </w:r>
      <w:r w:rsidRPr="00F36D62">
        <w:rPr>
          <w:rFonts w:ascii="Garamond" w:hAnsi="Garamond"/>
          <w:sz w:val="20"/>
          <w:szCs w:val="20"/>
        </w:rPr>
        <w:t xml:space="preserve"> </w:t>
      </w:r>
      <w:r w:rsidRPr="00F36D62">
        <w:rPr>
          <w:rFonts w:ascii="Garamond" w:hAnsi="Garamond"/>
          <w:smallCaps/>
          <w:sz w:val="20"/>
          <w:szCs w:val="20"/>
        </w:rPr>
        <w:t>Jiménez de Asúa</w:t>
      </w:r>
      <w:r w:rsidRPr="00F36D62">
        <w:rPr>
          <w:rFonts w:ascii="Garamond" w:hAnsi="Garamond"/>
          <w:sz w:val="20"/>
          <w:szCs w:val="20"/>
        </w:rPr>
        <w:t xml:space="preserve">, cit. (n. </w:t>
      </w:r>
      <w:r w:rsidRPr="00F36D62">
        <w:rPr>
          <w:rFonts w:ascii="Garamond" w:hAnsi="Garamond"/>
          <w:sz w:val="20"/>
          <w:szCs w:val="20"/>
        </w:rPr>
        <w:fldChar w:fldCharType="begin"/>
      </w:r>
      <w:r w:rsidRPr="00F36D62">
        <w:rPr>
          <w:rFonts w:ascii="Garamond" w:hAnsi="Garamond"/>
          <w:sz w:val="20"/>
          <w:szCs w:val="20"/>
        </w:rPr>
        <w:instrText xml:space="preserve"> NOTEREF _Ref10120184 \h  \* MERGEFORMAT </w:instrText>
      </w:r>
      <w:r w:rsidRPr="00F36D62">
        <w:rPr>
          <w:rFonts w:ascii="Garamond" w:hAnsi="Garamond"/>
          <w:sz w:val="20"/>
          <w:szCs w:val="20"/>
        </w:rPr>
      </w:r>
      <w:r w:rsidRPr="00F36D62">
        <w:rPr>
          <w:rFonts w:ascii="Garamond" w:hAnsi="Garamond"/>
          <w:sz w:val="20"/>
          <w:szCs w:val="20"/>
        </w:rPr>
        <w:fldChar w:fldCharType="separate"/>
      </w:r>
      <w:r w:rsidRPr="00F36D62">
        <w:rPr>
          <w:rFonts w:ascii="Garamond" w:hAnsi="Garamond"/>
          <w:sz w:val="20"/>
          <w:szCs w:val="20"/>
        </w:rPr>
        <w:t>36</w:t>
      </w:r>
      <w:r w:rsidRPr="00F36D62">
        <w:rPr>
          <w:rFonts w:ascii="Garamond" w:hAnsi="Garamond"/>
          <w:sz w:val="20"/>
          <w:szCs w:val="20"/>
        </w:rPr>
        <w:fldChar w:fldCharType="end"/>
      </w:r>
      <w:r w:rsidRPr="00F36D62">
        <w:rPr>
          <w:rFonts w:ascii="Garamond" w:hAnsi="Garamond"/>
          <w:sz w:val="20"/>
          <w:szCs w:val="20"/>
        </w:rPr>
        <w:t xml:space="preserve">), I, p. 760. Similar, </w:t>
      </w:r>
      <w:r w:rsidRPr="00F36D62">
        <w:rPr>
          <w:rFonts w:ascii="Garamond" w:hAnsi="Garamond"/>
          <w:smallCaps/>
          <w:sz w:val="20"/>
          <w:szCs w:val="20"/>
        </w:rPr>
        <w:t>Peña</w:t>
      </w:r>
      <w:r w:rsidRPr="00F36D62">
        <w:rPr>
          <w:rFonts w:ascii="Garamond" w:hAnsi="Garamond"/>
          <w:sz w:val="20"/>
          <w:szCs w:val="20"/>
        </w:rPr>
        <w:t xml:space="preserve">, cit. (n. </w:t>
      </w:r>
      <w:r w:rsidRPr="00F36D62">
        <w:rPr>
          <w:rFonts w:ascii="Garamond" w:hAnsi="Garamond"/>
          <w:sz w:val="20"/>
          <w:szCs w:val="20"/>
        </w:rPr>
        <w:fldChar w:fldCharType="begin"/>
      </w:r>
      <w:r w:rsidRPr="00F36D62">
        <w:rPr>
          <w:rFonts w:ascii="Garamond" w:hAnsi="Garamond"/>
          <w:sz w:val="20"/>
          <w:szCs w:val="20"/>
        </w:rPr>
        <w:instrText xml:space="preserve"> NOTEREF _Ref7365948 \h  \* MERGEFORMAT </w:instrText>
      </w:r>
      <w:r w:rsidRPr="00F36D62">
        <w:rPr>
          <w:rFonts w:ascii="Garamond" w:hAnsi="Garamond"/>
          <w:sz w:val="20"/>
          <w:szCs w:val="20"/>
        </w:rPr>
      </w:r>
      <w:r w:rsidRPr="00F36D62">
        <w:rPr>
          <w:rFonts w:ascii="Garamond" w:hAnsi="Garamond"/>
          <w:sz w:val="20"/>
          <w:szCs w:val="20"/>
        </w:rPr>
        <w:fldChar w:fldCharType="separate"/>
      </w:r>
      <w:r w:rsidRPr="00F36D62">
        <w:rPr>
          <w:rFonts w:ascii="Garamond" w:hAnsi="Garamond"/>
          <w:sz w:val="20"/>
          <w:szCs w:val="20"/>
        </w:rPr>
        <w:t>24</w:t>
      </w:r>
      <w:r w:rsidRPr="00F36D62">
        <w:rPr>
          <w:rFonts w:ascii="Garamond" w:hAnsi="Garamond"/>
          <w:sz w:val="20"/>
          <w:szCs w:val="20"/>
        </w:rPr>
        <w:fldChar w:fldCharType="end"/>
      </w:r>
      <w:r w:rsidRPr="00F36D62">
        <w:rPr>
          <w:rFonts w:ascii="Garamond" w:hAnsi="Garamond"/>
          <w:sz w:val="20"/>
          <w:szCs w:val="20"/>
        </w:rPr>
        <w:t>), p. 310, quien agrega que “el código de 1848 también recibe influencia notable del primer código penal español de 1822, que acusa considerable influencia del código francés y del Derecho español histórico.”</w:t>
      </w:r>
      <w:r w:rsidRPr="00F36D62">
        <w:rPr>
          <w:sz w:val="20"/>
          <w:szCs w:val="20"/>
        </w:rPr>
        <w:t xml:space="preserve"> </w:t>
      </w:r>
    </w:p>
  </w:footnote>
  <w:footnote w:id="44">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chileno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_Ref7364627 \h  \* MERGEFORMAT </w:instrText>
      </w:r>
      <w:r w:rsidRPr="00F36D62">
        <w:rPr>
          <w:rFonts w:ascii="Garamond" w:hAnsi="Garamond"/>
        </w:rPr>
      </w:r>
      <w:r w:rsidRPr="00F36D62">
        <w:rPr>
          <w:rFonts w:ascii="Garamond" w:hAnsi="Garamond"/>
        </w:rPr>
        <w:fldChar w:fldCharType="separate"/>
      </w:r>
      <w:r w:rsidRPr="00F36D62">
        <w:rPr>
          <w:rFonts w:ascii="Garamond" w:hAnsi="Garamond"/>
        </w:rPr>
        <w:t>22</w:t>
      </w:r>
      <w:r w:rsidRPr="00F36D62">
        <w:rPr>
          <w:rFonts w:ascii="Garamond" w:hAnsi="Garamond"/>
        </w:rPr>
        <w:fldChar w:fldCharType="end"/>
      </w:r>
      <w:r w:rsidRPr="00F36D62">
        <w:rPr>
          <w:rFonts w:ascii="Garamond" w:hAnsi="Garamond"/>
        </w:rPr>
        <w:t xml:space="preserve">), p. 307. </w:t>
      </w:r>
    </w:p>
  </w:footnote>
  <w:footnote w:id="45">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Sesión 19, de 20 julio de 1870 y sesión 136, de 13 de mayo de 1873.</w:t>
      </w:r>
    </w:p>
  </w:footnote>
  <w:footnote w:id="4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i/>
        </w:rPr>
        <w:t xml:space="preserve">Artículo 69/ Las circunstancias agravantes </w:t>
      </w:r>
      <w:proofErr w:type="spellStart"/>
      <w:r w:rsidRPr="00F36D62">
        <w:rPr>
          <w:rFonts w:ascii="Garamond" w:hAnsi="Garamond"/>
          <w:i/>
        </w:rPr>
        <w:t>ó</w:t>
      </w:r>
      <w:proofErr w:type="spellEnd"/>
      <w:r w:rsidRPr="00F36D62">
        <w:rPr>
          <w:rFonts w:ascii="Garamond" w:hAnsi="Garamond"/>
          <w:i/>
        </w:rPr>
        <w:t xml:space="preserve"> atenuantes que consistan en la disposición moral del delincuente, en sus relaciones particulares con el ofendido, </w:t>
      </w:r>
      <w:proofErr w:type="spellStart"/>
      <w:r w:rsidRPr="00F36D62">
        <w:rPr>
          <w:rFonts w:ascii="Garamond" w:hAnsi="Garamond"/>
          <w:i/>
        </w:rPr>
        <w:t>ó</w:t>
      </w:r>
      <w:proofErr w:type="spellEnd"/>
      <w:r w:rsidRPr="00F36D62">
        <w:rPr>
          <w:rFonts w:ascii="Garamond" w:hAnsi="Garamond"/>
          <w:i/>
        </w:rPr>
        <w:t xml:space="preserve"> en otra causa personal, servirán para agravar </w:t>
      </w:r>
      <w:proofErr w:type="spellStart"/>
      <w:r w:rsidRPr="00F36D62">
        <w:rPr>
          <w:rFonts w:ascii="Garamond" w:hAnsi="Garamond"/>
          <w:i/>
        </w:rPr>
        <w:t>ó</w:t>
      </w:r>
      <w:proofErr w:type="spellEnd"/>
      <w:r w:rsidRPr="00F36D62">
        <w:rPr>
          <w:rFonts w:ascii="Garamond" w:hAnsi="Garamond"/>
          <w:i/>
        </w:rPr>
        <w:t xml:space="preserve"> atenuar la responsabilidad de solo aquellos autores, cómplices </w:t>
      </w:r>
      <w:proofErr w:type="spellStart"/>
      <w:r w:rsidRPr="00F36D62">
        <w:rPr>
          <w:rFonts w:ascii="Garamond" w:hAnsi="Garamond"/>
          <w:i/>
        </w:rPr>
        <w:t>ó</w:t>
      </w:r>
      <w:proofErr w:type="spellEnd"/>
      <w:r w:rsidRPr="00F36D62">
        <w:rPr>
          <w:rFonts w:ascii="Garamond" w:hAnsi="Garamond"/>
          <w:i/>
        </w:rPr>
        <w:t xml:space="preserve"> encubridores, en quienes concurran./ Las que consistan en la ejecución material del hecho, </w:t>
      </w:r>
      <w:proofErr w:type="spellStart"/>
      <w:r w:rsidRPr="00F36D62">
        <w:rPr>
          <w:rFonts w:ascii="Garamond" w:hAnsi="Garamond"/>
          <w:i/>
        </w:rPr>
        <w:t>ó</w:t>
      </w:r>
      <w:proofErr w:type="spellEnd"/>
      <w:r w:rsidRPr="00F36D62">
        <w:rPr>
          <w:rFonts w:ascii="Garamond" w:hAnsi="Garamond"/>
          <w:i/>
        </w:rPr>
        <w:t xml:space="preserve"> en los medios empleados para realizarlo, servirán para agravar </w:t>
      </w:r>
      <w:proofErr w:type="spellStart"/>
      <w:r w:rsidRPr="00F36D62">
        <w:rPr>
          <w:rFonts w:ascii="Garamond" w:hAnsi="Garamond"/>
          <w:i/>
        </w:rPr>
        <w:t>ó</w:t>
      </w:r>
      <w:proofErr w:type="spellEnd"/>
      <w:r w:rsidRPr="00F36D62">
        <w:rPr>
          <w:rFonts w:ascii="Garamond" w:hAnsi="Garamond"/>
          <w:i/>
        </w:rPr>
        <w:t xml:space="preserve"> atenuar la responsabilidad únicamente de los que tuvieren conocimiento de ellas en el momento de la acción, </w:t>
      </w:r>
      <w:proofErr w:type="spellStart"/>
      <w:r w:rsidRPr="00F36D62">
        <w:rPr>
          <w:rFonts w:ascii="Garamond" w:hAnsi="Garamond"/>
          <w:i/>
        </w:rPr>
        <w:t>ó</w:t>
      </w:r>
      <w:proofErr w:type="spellEnd"/>
      <w:r w:rsidRPr="00F36D62">
        <w:rPr>
          <w:rFonts w:ascii="Garamond" w:hAnsi="Garamond"/>
          <w:i/>
        </w:rPr>
        <w:t xml:space="preserve"> de su cooperación para el delito</w:t>
      </w:r>
      <w:r w:rsidRPr="00F36D62">
        <w:rPr>
          <w:rFonts w:ascii="Garamond" w:hAnsi="Garamond"/>
        </w:rPr>
        <w:t>”.</w:t>
      </w:r>
    </w:p>
  </w:footnote>
  <w:footnote w:id="4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En este sentido,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118; asimismo,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p. 225 n. 22.</w:t>
      </w:r>
    </w:p>
  </w:footnote>
  <w:footnote w:id="4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 y Rivacoba</w:t>
      </w:r>
      <w:r w:rsidRPr="00F36D62">
        <w:rPr>
          <w:rFonts w:ascii="Garamond" w:hAnsi="Garamond"/>
        </w:rPr>
        <w:t xml:space="preserve">, Manuel de (director), </w:t>
      </w:r>
      <w:r w:rsidRPr="00F36D62">
        <w:rPr>
          <w:rFonts w:ascii="Garamond" w:hAnsi="Garamond"/>
          <w:i/>
        </w:rPr>
        <w:t>Código Penal de la República de Chile</w:t>
      </w:r>
      <w:r w:rsidRPr="00F36D62">
        <w:rPr>
          <w:rFonts w:ascii="Garamond" w:hAnsi="Garamond"/>
        </w:rPr>
        <w:t xml:space="preserve"> </w:t>
      </w:r>
      <w:r w:rsidRPr="00F36D62">
        <w:rPr>
          <w:rFonts w:ascii="Garamond" w:hAnsi="Garamond"/>
          <w:i/>
        </w:rPr>
        <w:t>y Actas de las sesiones de la Comisión Redactora</w:t>
      </w:r>
      <w:r w:rsidRPr="00F36D62">
        <w:rPr>
          <w:rFonts w:ascii="Garamond" w:hAnsi="Garamond"/>
        </w:rPr>
        <w:t xml:space="preserve"> (Valparaíso, Edeval, 1974), p. 494. Igual, </w:t>
      </w:r>
      <w:r w:rsidRPr="00F36D62">
        <w:rPr>
          <w:rFonts w:ascii="Garamond" w:hAnsi="Garamond"/>
          <w:smallCaps/>
        </w:rPr>
        <w:t>Lazo</w:t>
      </w:r>
      <w:r w:rsidRPr="00F36D62">
        <w:rPr>
          <w:rFonts w:ascii="Garamond" w:hAnsi="Garamond"/>
        </w:rPr>
        <w:t xml:space="preserve">, Santiago, </w:t>
      </w:r>
      <w:r w:rsidRPr="00F36D62">
        <w:rPr>
          <w:rFonts w:ascii="Garamond" w:hAnsi="Garamond"/>
          <w:i/>
        </w:rPr>
        <w:t>Código Penal. Orígenes, concordancias, jurisprudencia</w:t>
      </w:r>
      <w:r w:rsidRPr="00F36D62">
        <w:rPr>
          <w:rFonts w:ascii="Garamond" w:hAnsi="Garamond"/>
        </w:rPr>
        <w:t>, (Santiago, Poblete Cruzat Hnos. Editores, 1915), p. 85. Esta extensión, como se verá, no estaba tampoco en el Código de las Dos Sicilias que Pacheco cita como concordancia.</w:t>
      </w:r>
    </w:p>
  </w:footnote>
  <w:footnote w:id="49">
    <w:p w:rsidR="00306473" w:rsidRPr="00F36D62" w:rsidRDefault="00306473" w:rsidP="00E229F1">
      <w:pPr>
        <w:pStyle w:val="Textonotapie"/>
        <w:tabs>
          <w:tab w:val="left" w:pos="2268"/>
        </w:tabs>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Matus y Van Weezel</w:t>
      </w:r>
      <w:r w:rsidRPr="00F36D62">
        <w:rPr>
          <w:rFonts w:ascii="Garamond" w:hAnsi="Garamond"/>
        </w:rPr>
        <w:t xml:space="preserve">, </w:t>
      </w:r>
      <w:r w:rsidRPr="00F36D62">
        <w:rPr>
          <w:rFonts w:ascii="Garamond" w:hAnsi="Garamond"/>
          <w:i/>
        </w:rPr>
        <w:t>De la aplicación de las penas</w:t>
      </w:r>
      <w:r w:rsidRPr="00F36D62">
        <w:rPr>
          <w:rFonts w:ascii="Garamond" w:hAnsi="Garamond"/>
        </w:rPr>
        <w:t xml:space="preserve">, cit. </w:t>
      </w:r>
      <w:r w:rsidRPr="00F36D62">
        <w:rPr>
          <w:rFonts w:ascii="Garamond" w:hAnsi="Garamond"/>
          <w:lang w:val="it-IT"/>
        </w:rPr>
        <w:t xml:space="preserve">(n. </w:t>
      </w:r>
      <w:r w:rsidRPr="00F36D62">
        <w:rPr>
          <w:rFonts w:ascii="Garamond" w:hAnsi="Garamond"/>
        </w:rPr>
        <w:fldChar w:fldCharType="begin"/>
      </w:r>
      <w:r w:rsidRPr="00F36D62">
        <w:rPr>
          <w:rFonts w:ascii="Garamond" w:hAnsi="Garamond"/>
          <w:lang w:val="it-IT"/>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3</w:t>
      </w:r>
      <w:r w:rsidRPr="00F36D62">
        <w:rPr>
          <w:rFonts w:ascii="Garamond" w:hAnsi="Garamond"/>
        </w:rPr>
        <w:fldChar w:fldCharType="end"/>
      </w:r>
      <w:r w:rsidRPr="00F36D62">
        <w:rPr>
          <w:rFonts w:ascii="Garamond" w:hAnsi="Garamond"/>
          <w:lang w:val="it-IT"/>
        </w:rPr>
        <w:t xml:space="preserve">), pp. </w:t>
      </w:r>
      <w:r w:rsidRPr="00F36D62">
        <w:rPr>
          <w:rFonts w:ascii="Garamond" w:hAnsi="Garamond"/>
          <w:lang w:val="it-IT"/>
        </w:rPr>
        <w:t xml:space="preserve">354, 355; </w:t>
      </w:r>
      <w:r w:rsidRPr="00F36D62">
        <w:rPr>
          <w:rFonts w:ascii="Garamond" w:hAnsi="Garamond"/>
          <w:smallCaps/>
          <w:lang w:val="it-IT"/>
        </w:rPr>
        <w:t>Couso</w:t>
      </w:r>
      <w:r w:rsidRPr="00F36D62">
        <w:rPr>
          <w:rFonts w:ascii="Garamond" w:hAnsi="Garamond"/>
          <w:lang w:val="it-IT"/>
        </w:rPr>
        <w:t xml:space="preserve">, </w:t>
      </w:r>
      <w:r w:rsidRPr="00F36D62">
        <w:rPr>
          <w:rFonts w:ascii="Garamond" w:hAnsi="Garamond"/>
          <w:i/>
          <w:lang w:val="it-IT"/>
        </w:rPr>
        <w:t>Comentario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580. Esta posibilidad ya aparece sugerida por </w:t>
      </w:r>
      <w:r w:rsidRPr="00F36D62">
        <w:rPr>
          <w:rFonts w:ascii="Garamond" w:hAnsi="Garamond"/>
          <w:smallCaps/>
        </w:rPr>
        <w:t>Pacheco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I, p. 399.</w:t>
      </w:r>
    </w:p>
  </w:footnote>
  <w:footnote w:id="5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Cf. </w:t>
      </w:r>
      <w:r w:rsidRPr="00F36D62">
        <w:rPr>
          <w:rFonts w:ascii="Garamond" w:hAnsi="Garamond"/>
          <w:smallCaps/>
        </w:rPr>
        <w:t>Van Weezel</w:t>
      </w:r>
      <w:r w:rsidRPr="00F36D62">
        <w:rPr>
          <w:rFonts w:ascii="Garamond" w:hAnsi="Garamond"/>
        </w:rPr>
        <w:t xml:space="preserve">, Alex, </w:t>
      </w:r>
      <w:r w:rsidRPr="00F36D62">
        <w:rPr>
          <w:rFonts w:ascii="Garamond" w:hAnsi="Garamond"/>
          <w:i/>
        </w:rPr>
        <w:t>Error y mero desconocimiento en Derecho Penal</w:t>
      </w:r>
      <w:r w:rsidRPr="00F36D62">
        <w:rPr>
          <w:rFonts w:ascii="Garamond" w:hAnsi="Garamond"/>
        </w:rPr>
        <w:t xml:space="preserve"> (2008, 2ª edición, Santiago, Legal Publishing, 2009), </w:t>
      </w:r>
      <w:r w:rsidRPr="00F36D62">
        <w:rPr>
          <w:rFonts w:ascii="Garamond" w:hAnsi="Garamond"/>
          <w:lang w:val="es-CL"/>
        </w:rPr>
        <w:t xml:space="preserve">pp. 22-23. </w:t>
      </w:r>
    </w:p>
  </w:footnote>
  <w:footnote w:id="51">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Pacheco</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5</w:t>
      </w:r>
      <w:r w:rsidRPr="00F36D62">
        <w:rPr>
          <w:rFonts w:ascii="Garamond" w:hAnsi="Garamond"/>
        </w:rPr>
        <w:fldChar w:fldCharType="end"/>
      </w:r>
      <w:r w:rsidRPr="00F36D62">
        <w:rPr>
          <w:rFonts w:ascii="Garamond" w:hAnsi="Garamond"/>
          <w:lang w:val="es-CL"/>
        </w:rPr>
        <w:t xml:space="preserve">), I, p. 399; preguntándose: </w:t>
      </w:r>
      <w:r w:rsidRPr="00F36D62">
        <w:rPr>
          <w:rFonts w:ascii="Garamond" w:hAnsi="Garamond"/>
        </w:rPr>
        <w:t xml:space="preserve">“¿Es torpeza nuestra </w:t>
      </w:r>
      <w:proofErr w:type="spellStart"/>
      <w:r w:rsidRPr="00F36D62">
        <w:rPr>
          <w:rFonts w:ascii="Garamond" w:hAnsi="Garamond"/>
        </w:rPr>
        <w:t>ó</w:t>
      </w:r>
      <w:proofErr w:type="spellEnd"/>
      <w:r w:rsidRPr="00F36D62">
        <w:rPr>
          <w:rFonts w:ascii="Garamond" w:hAnsi="Garamond"/>
        </w:rPr>
        <w:t xml:space="preserve"> ligereza de la ley?”</w:t>
      </w:r>
    </w:p>
  </w:footnote>
  <w:footnote w:id="52">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Rivacoba</w:t>
      </w:r>
      <w:r w:rsidRPr="00F36D62">
        <w:rPr>
          <w:rFonts w:ascii="Garamond" w:hAnsi="Garamond"/>
        </w:rPr>
        <w:t xml:space="preserve">, </w:t>
      </w:r>
      <w:r w:rsidRPr="00F36D62">
        <w:rPr>
          <w:rFonts w:ascii="Garamond" w:hAnsi="Garamond"/>
          <w:i/>
        </w:rPr>
        <w:t>Actas</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_Ref7369369 \h  \* MERGEFORMAT </w:instrText>
      </w:r>
      <w:r w:rsidRPr="00F36D62">
        <w:rPr>
          <w:rFonts w:ascii="Garamond" w:hAnsi="Garamond"/>
        </w:rPr>
      </w:r>
      <w:r w:rsidRPr="00F36D62">
        <w:rPr>
          <w:rFonts w:ascii="Garamond" w:hAnsi="Garamond"/>
        </w:rPr>
        <w:fldChar w:fldCharType="separate"/>
      </w:r>
      <w:r w:rsidRPr="00F36D62">
        <w:rPr>
          <w:rFonts w:ascii="Garamond" w:hAnsi="Garamond"/>
        </w:rPr>
        <w:t>48</w:t>
      </w:r>
      <w:r w:rsidRPr="00F36D62">
        <w:rPr>
          <w:rFonts w:ascii="Garamond" w:hAnsi="Garamond"/>
        </w:rPr>
        <w:fldChar w:fldCharType="end"/>
      </w:r>
      <w:r w:rsidRPr="00F36D62">
        <w:rPr>
          <w:rFonts w:ascii="Garamond" w:hAnsi="Garamond"/>
        </w:rPr>
        <w:t xml:space="preserve">), p. 279. Igual, </w:t>
      </w:r>
      <w:r w:rsidRPr="00F36D62">
        <w:rPr>
          <w:rFonts w:ascii="Garamond" w:hAnsi="Garamond"/>
          <w:smallCaps/>
        </w:rPr>
        <w:t>Lazo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_Ref7369369 \h  \* MERGEFORMAT </w:instrText>
      </w:r>
      <w:r w:rsidRPr="00F36D62">
        <w:rPr>
          <w:rFonts w:ascii="Garamond" w:hAnsi="Garamond"/>
        </w:rPr>
      </w:r>
      <w:r w:rsidRPr="00F36D62">
        <w:rPr>
          <w:rFonts w:ascii="Garamond" w:hAnsi="Garamond"/>
        </w:rPr>
        <w:fldChar w:fldCharType="separate"/>
      </w:r>
      <w:r w:rsidRPr="00F36D62">
        <w:rPr>
          <w:rFonts w:ascii="Garamond" w:hAnsi="Garamond"/>
        </w:rPr>
        <w:t>48</w:t>
      </w:r>
      <w:r w:rsidRPr="00F36D62">
        <w:rPr>
          <w:rFonts w:ascii="Garamond" w:hAnsi="Garamond"/>
        </w:rPr>
        <w:fldChar w:fldCharType="end"/>
      </w:r>
      <w:r w:rsidRPr="00F36D62">
        <w:rPr>
          <w:rFonts w:ascii="Garamond" w:hAnsi="Garamond"/>
        </w:rPr>
        <w:t>), p. 85. La prudencia del legislador habría sido injustificada si, como sostiene la “doctrina mayoritaria, no existen atenuantes reales, sino sólo agravantes reales” (</w:t>
      </w:r>
      <w:r w:rsidRPr="00F36D62">
        <w:rPr>
          <w:rFonts w:ascii="Garamond" w:hAnsi="Garamond"/>
          <w:smallCaps/>
        </w:rPr>
        <w:t>Couso</w:t>
      </w:r>
      <w:r w:rsidRPr="00F36D62">
        <w:rPr>
          <w:rFonts w:ascii="Garamond" w:hAnsi="Garamond"/>
        </w:rPr>
        <w:t xml:space="preserve">, </w:t>
      </w:r>
      <w:r w:rsidRPr="00F36D62">
        <w:rPr>
          <w:rFonts w:ascii="Garamond" w:hAnsi="Garamond"/>
          <w:i/>
        </w:rPr>
        <w:t>Comentario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538); lo estaría, en cambio, si se acepta la atenuante por eximente incompleta fundada en justificantes (así, </w:t>
      </w:r>
      <w:r w:rsidRPr="00F36D62">
        <w:rPr>
          <w:rFonts w:ascii="Garamond" w:hAnsi="Garamond"/>
          <w:i/>
        </w:rPr>
        <w:t>v. gr.</w:t>
      </w:r>
      <w:r w:rsidRPr="00F36D62">
        <w:rPr>
          <w:rFonts w:ascii="Garamond" w:hAnsi="Garamond"/>
        </w:rPr>
        <w:t xml:space="preserve">, </w:t>
      </w:r>
      <w:r w:rsidRPr="00F36D62">
        <w:rPr>
          <w:rFonts w:ascii="Garamond" w:hAnsi="Garamond"/>
          <w:smallCaps/>
        </w:rPr>
        <w:t>Novoa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117). </w:t>
      </w:r>
    </w:p>
  </w:footnote>
  <w:footnote w:id="53">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rPr>
        <w:t xml:space="preserve">Según sostiene </w:t>
      </w:r>
      <w:r w:rsidRPr="00F36D62">
        <w:rPr>
          <w:rFonts w:ascii="Garamond" w:hAnsi="Garamond"/>
          <w:smallCaps/>
        </w:rPr>
        <w:t>Jiménez de Asúa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_Ref10120184 \h  \* MERGEFORMAT </w:instrText>
      </w:r>
      <w:r w:rsidRPr="00F36D62">
        <w:rPr>
          <w:rFonts w:ascii="Garamond" w:hAnsi="Garamond"/>
        </w:rPr>
      </w:r>
      <w:r w:rsidRPr="00F36D62">
        <w:rPr>
          <w:rFonts w:ascii="Garamond" w:hAnsi="Garamond"/>
        </w:rPr>
        <w:fldChar w:fldCharType="separate"/>
      </w:r>
      <w:r w:rsidRPr="00F36D62">
        <w:rPr>
          <w:rFonts w:ascii="Garamond" w:hAnsi="Garamond"/>
        </w:rPr>
        <w:t>36</w:t>
      </w:r>
      <w:r w:rsidRPr="00F36D62">
        <w:rPr>
          <w:rFonts w:ascii="Garamond" w:hAnsi="Garamond"/>
        </w:rPr>
        <w:fldChar w:fldCharType="end"/>
      </w:r>
      <w:r w:rsidRPr="00F36D62">
        <w:rPr>
          <w:rFonts w:ascii="Garamond" w:hAnsi="Garamond"/>
        </w:rPr>
        <w:t>), I, p. 316, “[e]n el Reino de las Dos Sicilias se promulgó en 1819 un Código […] que fue uno de los mejores, todavía es hoy digno de loa.” Se trata de “una codificación nueva, muy amplia, que se articuló en cinco partes correspondientes, en sustancia, a cinco códigos napoleónicos” (</w:t>
      </w:r>
      <w:r w:rsidRPr="00F36D62">
        <w:rPr>
          <w:rFonts w:ascii="Garamond" w:hAnsi="Garamond"/>
          <w:smallCaps/>
        </w:rPr>
        <w:t>Ferrante</w:t>
      </w:r>
      <w:r w:rsidRPr="00F36D62">
        <w:rPr>
          <w:rFonts w:ascii="Garamond" w:hAnsi="Garamond"/>
        </w:rPr>
        <w:t xml:space="preserve">, Riccardo, </w:t>
      </w:r>
      <w:r w:rsidRPr="00F36D62">
        <w:rPr>
          <w:rFonts w:ascii="Garamond" w:hAnsi="Garamond"/>
          <w:i/>
        </w:rPr>
        <w:t>Los orígenes del modelo de codificación entre los siglos XIX y XX en Europa, con particular atención al caso italiano</w:t>
      </w:r>
      <w:r w:rsidRPr="00F36D62">
        <w:rPr>
          <w:rFonts w:ascii="Garamond" w:hAnsi="Garamond"/>
        </w:rPr>
        <w:t xml:space="preserve">, en </w:t>
      </w:r>
      <w:r w:rsidRPr="00F36D62">
        <w:rPr>
          <w:rFonts w:ascii="Garamond" w:hAnsi="Garamond"/>
          <w:i/>
        </w:rPr>
        <w:t>Revista de Derecho Privado</w:t>
      </w:r>
      <w:r w:rsidRPr="00F36D62">
        <w:rPr>
          <w:rFonts w:ascii="Garamond" w:hAnsi="Garamond"/>
        </w:rPr>
        <w:t xml:space="preserve"> </w:t>
      </w:r>
      <w:r w:rsidRPr="00F36D62">
        <w:rPr>
          <w:rFonts w:ascii="Garamond" w:hAnsi="Garamond"/>
          <w:i/>
        </w:rPr>
        <w:t>[Universidad Externado de Colombia]</w:t>
      </w:r>
      <w:r w:rsidRPr="00F36D62">
        <w:rPr>
          <w:rFonts w:ascii="Garamond" w:hAnsi="Garamond"/>
        </w:rPr>
        <w:t xml:space="preserve">, 25 [2013], p. 43). </w:t>
      </w:r>
      <w:r w:rsidRPr="00F36D62">
        <w:rPr>
          <w:rFonts w:ascii="Garamond" w:hAnsi="Garamond"/>
          <w:smallCaps/>
        </w:rPr>
        <w:t>Pessina</w:t>
      </w:r>
      <w:r w:rsidRPr="00F36D62">
        <w:rPr>
          <w:rFonts w:ascii="Garamond" w:hAnsi="Garamond"/>
        </w:rPr>
        <w:t xml:space="preserve">, Enrique, </w:t>
      </w:r>
      <w:r w:rsidRPr="00F36D62">
        <w:rPr>
          <w:rFonts w:ascii="Garamond" w:hAnsi="Garamond"/>
          <w:i/>
        </w:rPr>
        <w:t>Elementos de Derecho Penal</w:t>
      </w:r>
      <w:r w:rsidRPr="00F36D62">
        <w:rPr>
          <w:rFonts w:ascii="Garamond" w:hAnsi="Garamond"/>
        </w:rPr>
        <w:t xml:space="preserve"> (trad. cast., 4ª edición, Madrid, Editorial Reus, 1936), p. 136 comenta que el Gobierno de las Dos Sicilias encabezó el proceso de “mejorar los mismos Códigos importados por el Imperio francés”, estableciendo “una Comisión legislativa para la revisión de las cinco partes del Código napoleónico, con el fin de hacer de él un Código que tomara prestado de la legislación francesa todo lo bueno de ella y suprimiera aquello que estuviese en oposición con los principios de la ciencia respecto a los delitos comunes o en contradicción con los intereses del poder público en la penalidad y en los juicios.” El mismo </w:t>
      </w:r>
      <w:r w:rsidRPr="00F36D62">
        <w:rPr>
          <w:rFonts w:ascii="Garamond" w:hAnsi="Garamond"/>
          <w:smallCaps/>
        </w:rPr>
        <w:t>Pessina</w:t>
      </w:r>
      <w:r w:rsidRPr="00F36D62">
        <w:rPr>
          <w:rFonts w:ascii="Garamond" w:hAnsi="Garamond"/>
        </w:rPr>
        <w:t xml:space="preserve">, </w:t>
      </w:r>
      <w:r w:rsidRPr="00F36D62">
        <w:rPr>
          <w:rFonts w:ascii="Garamond" w:hAnsi="Garamond"/>
          <w:i/>
        </w:rPr>
        <w:t>Elementos de 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_Ref530472190 \h  \* MERGEFORMAT </w:instrText>
      </w:r>
      <w:r w:rsidRPr="00F36D62">
        <w:rPr>
          <w:rFonts w:ascii="Garamond" w:hAnsi="Garamond"/>
        </w:rPr>
      </w:r>
      <w:r w:rsidRPr="00F36D62">
        <w:rPr>
          <w:rFonts w:ascii="Garamond" w:hAnsi="Garamond"/>
        </w:rPr>
        <w:fldChar w:fldCharType="separate"/>
      </w:r>
      <w:r w:rsidRPr="00F36D62">
        <w:rPr>
          <w:rFonts w:ascii="Garamond" w:hAnsi="Garamond"/>
        </w:rPr>
        <w:t>53</w:t>
      </w:r>
      <w:r w:rsidRPr="00F36D62">
        <w:rPr>
          <w:rFonts w:ascii="Garamond" w:hAnsi="Garamond"/>
        </w:rPr>
        <w:fldChar w:fldCharType="end"/>
      </w:r>
      <w:r w:rsidRPr="00F36D62">
        <w:rPr>
          <w:rFonts w:ascii="Garamond" w:hAnsi="Garamond"/>
        </w:rPr>
        <w:t xml:space="preserve">), p. 136 destaca la figura de Niccola Nicolini (“que contribuyó principalmente a la formación del nuevo Código penal y del nuevo Código de procedimientos penales, ambos publicados en 1819”) y agrega que “la legislación penal napolitana marcó entonces un progreso entre los Códigos de Europa, tanto que algunas de sus instituciones fueron admitidas por Francia en la revisión que de sus leyes hizo en 1832.” </w:t>
      </w:r>
      <w:r w:rsidRPr="00F36D62">
        <w:rPr>
          <w:rFonts w:ascii="Garamond" w:hAnsi="Garamond"/>
          <w:lang w:val="it-IT"/>
        </w:rPr>
        <w:t xml:space="preserve">La valoración positiva también en </w:t>
      </w:r>
      <w:r w:rsidRPr="00F36D62">
        <w:rPr>
          <w:rFonts w:ascii="Garamond" w:hAnsi="Garamond"/>
          <w:smallCaps/>
          <w:lang w:val="it-IT"/>
        </w:rPr>
        <w:t>Pessina</w:t>
      </w:r>
      <w:r w:rsidRPr="00F36D62">
        <w:rPr>
          <w:rFonts w:ascii="Garamond" w:hAnsi="Garamond"/>
          <w:lang w:val="it-IT"/>
        </w:rPr>
        <w:t xml:space="preserve">, Enrico, </w:t>
      </w:r>
      <w:r w:rsidRPr="00F36D62">
        <w:rPr>
          <w:rFonts w:ascii="Garamond" w:hAnsi="Garamond"/>
          <w:i/>
          <w:lang w:val="it-IT"/>
        </w:rPr>
        <w:t>Dei progressi dei Diritto Penale in Italia nel Secolo XIX</w:t>
      </w:r>
      <w:r w:rsidRPr="00F36D62">
        <w:rPr>
          <w:rFonts w:ascii="Garamond" w:hAnsi="Garamond"/>
          <w:lang w:val="it-IT"/>
        </w:rPr>
        <w:t xml:space="preserve"> (Firenze, Stablimento Civelli, 1868), p. 6. </w:t>
      </w:r>
    </w:p>
  </w:footnote>
  <w:footnote w:id="54">
    <w:p w:rsidR="00306473" w:rsidRPr="00F36D62" w:rsidRDefault="00306473" w:rsidP="00100410">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rPr>
        <w:t>Iñesta</w:t>
      </w:r>
      <w:r w:rsidRPr="00F36D62">
        <w:rPr>
          <w:rFonts w:ascii="Garamond" w:hAnsi="Garamond"/>
        </w:rPr>
        <w:t xml:space="preserve">, </w:t>
      </w:r>
      <w:r w:rsidRPr="00F36D62">
        <w:rPr>
          <w:rFonts w:ascii="Garamond" w:hAnsi="Garamond"/>
          <w:i/>
        </w:rPr>
        <w:t>El Código Penal español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_Ref10120362 \h  \* MERGEFORMAT </w:instrText>
      </w:r>
      <w:r w:rsidRPr="00F36D62">
        <w:rPr>
          <w:rFonts w:ascii="Garamond" w:hAnsi="Garamond"/>
        </w:rPr>
      </w:r>
      <w:r w:rsidRPr="00F36D62">
        <w:rPr>
          <w:rFonts w:ascii="Garamond" w:hAnsi="Garamond"/>
        </w:rPr>
        <w:fldChar w:fldCharType="separate"/>
      </w:r>
      <w:r w:rsidRPr="00F36D62">
        <w:rPr>
          <w:rFonts w:ascii="Garamond" w:hAnsi="Garamond"/>
        </w:rPr>
        <w:t>40</w:t>
      </w:r>
      <w:r w:rsidRPr="00F36D62">
        <w:rPr>
          <w:rFonts w:ascii="Garamond" w:hAnsi="Garamond"/>
        </w:rPr>
        <w:fldChar w:fldCharType="end"/>
      </w:r>
      <w:r w:rsidRPr="00F36D62">
        <w:rPr>
          <w:rFonts w:ascii="Garamond" w:hAnsi="Garamond"/>
        </w:rPr>
        <w:t>)</w:t>
      </w:r>
      <w:r w:rsidRPr="00F36D62">
        <w:rPr>
          <w:rFonts w:ascii="Garamond" w:hAnsi="Garamond"/>
          <w:lang w:val="es-CL"/>
        </w:rPr>
        <w:t xml:space="preserve">, pp. 77-79, atribuyendo a Lozano la redacción del anteproyecto del libro I, sostiene que adoptó como modelo el Código napolitano y el del Brasil. </w:t>
      </w:r>
    </w:p>
  </w:footnote>
  <w:footnote w:id="55">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en-US"/>
        </w:rPr>
        <w:t xml:space="preserve"> </w:t>
      </w:r>
      <w:r w:rsidRPr="00F36D62">
        <w:rPr>
          <w:rFonts w:ascii="Garamond" w:hAnsi="Garamond"/>
          <w:smallCaps/>
          <w:lang w:val="en-US"/>
        </w:rPr>
        <w:t>Iñesta Pastor</w:t>
      </w:r>
      <w:r w:rsidRPr="00F36D62">
        <w:rPr>
          <w:rFonts w:ascii="Garamond" w:hAnsi="Garamond"/>
          <w:lang w:val="en-US"/>
        </w:rPr>
        <w:t xml:space="preserve">, Emilia, </w:t>
      </w:r>
      <w:r w:rsidRPr="00F36D62">
        <w:rPr>
          <w:rFonts w:ascii="Garamond" w:hAnsi="Garamond"/>
          <w:i/>
          <w:lang w:val="en-US"/>
        </w:rPr>
        <w:t>The influence of the 1819 criminal code of the Two Sicilies upon the Spanish criminal law codification and the parliament of the nineteenth century</w:t>
      </w:r>
      <w:r w:rsidRPr="00F36D62">
        <w:rPr>
          <w:rFonts w:ascii="Garamond" w:hAnsi="Garamond"/>
          <w:lang w:val="en-US"/>
        </w:rPr>
        <w:t xml:space="preserve">, en </w:t>
      </w:r>
      <w:r w:rsidRPr="00F36D62">
        <w:rPr>
          <w:rFonts w:ascii="Garamond" w:hAnsi="Garamond"/>
          <w:smallCaps/>
          <w:lang w:val="en-US"/>
        </w:rPr>
        <w:t>Romano</w:t>
      </w:r>
      <w:r w:rsidRPr="00F36D62">
        <w:rPr>
          <w:rFonts w:ascii="Garamond" w:hAnsi="Garamond"/>
          <w:lang w:val="en-US"/>
        </w:rPr>
        <w:t xml:space="preserve">, Andrea (a </w:t>
      </w:r>
      <w:proofErr w:type="spellStart"/>
      <w:r w:rsidRPr="00F36D62">
        <w:rPr>
          <w:rFonts w:ascii="Garamond" w:hAnsi="Garamond"/>
          <w:lang w:val="en-US"/>
        </w:rPr>
        <w:t>cura</w:t>
      </w:r>
      <w:proofErr w:type="spellEnd"/>
      <w:r w:rsidRPr="00F36D62">
        <w:rPr>
          <w:rFonts w:ascii="Garamond" w:hAnsi="Garamond"/>
          <w:lang w:val="en-US"/>
        </w:rPr>
        <w:t xml:space="preserve"> di), </w:t>
      </w:r>
      <w:r w:rsidRPr="00F36D62">
        <w:rPr>
          <w:rFonts w:ascii="Garamond" w:hAnsi="Garamond"/>
          <w:i/>
          <w:lang w:val="en-US"/>
        </w:rPr>
        <w:t xml:space="preserve">Culture </w:t>
      </w:r>
      <w:proofErr w:type="spellStart"/>
      <w:r w:rsidRPr="00F36D62">
        <w:rPr>
          <w:rFonts w:ascii="Garamond" w:hAnsi="Garamond"/>
          <w:i/>
          <w:lang w:val="en-US"/>
        </w:rPr>
        <w:t>parlamentari</w:t>
      </w:r>
      <w:proofErr w:type="spellEnd"/>
      <w:r w:rsidRPr="00F36D62">
        <w:rPr>
          <w:rFonts w:ascii="Garamond" w:hAnsi="Garamond"/>
          <w:i/>
          <w:lang w:val="en-US"/>
        </w:rPr>
        <w:t xml:space="preserve"> a confront. </w:t>
      </w:r>
      <w:r w:rsidRPr="00F36D62">
        <w:rPr>
          <w:rFonts w:ascii="Garamond" w:hAnsi="Garamond"/>
          <w:i/>
          <w:lang w:val="it-IT"/>
        </w:rPr>
        <w:t>Modelli de lla rappresentanza politica e identità nazionali</w:t>
      </w:r>
      <w:r w:rsidRPr="00F36D62">
        <w:rPr>
          <w:rFonts w:ascii="Garamond" w:hAnsi="Garamond"/>
          <w:lang w:val="it-IT"/>
        </w:rPr>
        <w:t xml:space="preserve"> (Bologna, CLUEB Casa editrice, 2016), p. 255.</w:t>
      </w:r>
    </w:p>
  </w:footnote>
  <w:footnote w:id="56">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En esta línea, </w:t>
      </w:r>
      <w:r w:rsidRPr="00F36D62">
        <w:rPr>
          <w:rFonts w:ascii="Garamond" w:hAnsi="Garamond"/>
          <w:smallCaps/>
        </w:rPr>
        <w:t>Pessina</w:t>
      </w:r>
      <w:r w:rsidRPr="00F36D62">
        <w:rPr>
          <w:rFonts w:ascii="Garamond" w:hAnsi="Garamond"/>
        </w:rPr>
        <w:t xml:space="preserve">, </w:t>
      </w:r>
      <w:r w:rsidRPr="00F36D62">
        <w:rPr>
          <w:rFonts w:ascii="Garamond" w:hAnsi="Garamond"/>
          <w:i/>
        </w:rPr>
        <w:t>Elementos de 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_Ref530472190 \h  \* MERGEFORMAT </w:instrText>
      </w:r>
      <w:r w:rsidRPr="00F36D62">
        <w:rPr>
          <w:rFonts w:ascii="Garamond" w:hAnsi="Garamond"/>
        </w:rPr>
      </w:r>
      <w:r w:rsidRPr="00F36D62">
        <w:rPr>
          <w:rFonts w:ascii="Garamond" w:hAnsi="Garamond"/>
        </w:rPr>
        <w:fldChar w:fldCharType="separate"/>
      </w:r>
      <w:r w:rsidRPr="00F36D62">
        <w:rPr>
          <w:rFonts w:ascii="Garamond" w:hAnsi="Garamond"/>
        </w:rPr>
        <w:t>53</w:t>
      </w:r>
      <w:r w:rsidRPr="00F36D62">
        <w:rPr>
          <w:rFonts w:ascii="Garamond" w:hAnsi="Garamond"/>
        </w:rPr>
        <w:fldChar w:fldCharType="end"/>
      </w:r>
      <w:r w:rsidRPr="00F36D62">
        <w:rPr>
          <w:rFonts w:ascii="Garamond" w:hAnsi="Garamond"/>
        </w:rPr>
        <w:t xml:space="preserve">), </w:t>
      </w:r>
      <w:r w:rsidRPr="00F36D62">
        <w:rPr>
          <w:rFonts w:ascii="Garamond" w:hAnsi="Garamond"/>
          <w:lang w:val="es-CL"/>
        </w:rPr>
        <w:t xml:space="preserve">p. 136 destaca que “[l]as gloriosas tradiciones italianas sirvieron de base para la modificación de la doctrina […] de la participación de varias personas en un mismo delito”; habiéndolas caracterizo antes </w:t>
      </w:r>
      <w:r w:rsidRPr="00F36D62">
        <w:rPr>
          <w:rFonts w:ascii="Garamond" w:hAnsi="Garamond"/>
        </w:rPr>
        <w:t>como “brillantes tradiciones de la ciencia y de la práctica italiana</w:t>
      </w:r>
      <w:r w:rsidRPr="00F36D62">
        <w:rPr>
          <w:rFonts w:ascii="Garamond" w:hAnsi="Garamond"/>
          <w:lang w:val="es-CL"/>
        </w:rPr>
        <w:t>” (p</w:t>
      </w:r>
      <w:r w:rsidRPr="00F36D62">
        <w:rPr>
          <w:rFonts w:ascii="Garamond" w:hAnsi="Garamond"/>
        </w:rPr>
        <w:t>. 135</w:t>
      </w:r>
      <w:r w:rsidRPr="00F36D62">
        <w:rPr>
          <w:rFonts w:ascii="Garamond" w:hAnsi="Garamond"/>
          <w:lang w:val="es-CL"/>
        </w:rPr>
        <w:t>)</w:t>
      </w:r>
      <w:r w:rsidRPr="00F36D62">
        <w:rPr>
          <w:rFonts w:ascii="Garamond" w:hAnsi="Garamond"/>
        </w:rPr>
        <w:t xml:space="preserve">. </w:t>
      </w:r>
      <w:r w:rsidRPr="00F36D62">
        <w:rPr>
          <w:rFonts w:ascii="Garamond" w:hAnsi="Garamond"/>
          <w:lang w:val="es-CL"/>
        </w:rPr>
        <w:t xml:space="preserve">Así, </w:t>
      </w:r>
      <w:r w:rsidRPr="00F36D62">
        <w:rPr>
          <w:rFonts w:ascii="Garamond" w:hAnsi="Garamond"/>
          <w:smallCaps/>
          <w:lang w:val="es-CL"/>
        </w:rPr>
        <w:t>Gómez Martín</w:t>
      </w:r>
      <w:r w:rsidRPr="00F36D62">
        <w:rPr>
          <w:rFonts w:ascii="Garamond" w:hAnsi="Garamond"/>
          <w:lang w:val="es-CL"/>
        </w:rPr>
        <w:t xml:space="preserve">, Víctor, </w:t>
      </w:r>
      <w:r w:rsidRPr="00F36D62">
        <w:rPr>
          <w:rFonts w:ascii="Garamond" w:hAnsi="Garamond"/>
          <w:i/>
          <w:lang w:val="es-CL"/>
        </w:rPr>
        <w:t>Los delitos especiales</w:t>
      </w:r>
      <w:r w:rsidRPr="00F36D62">
        <w:rPr>
          <w:rFonts w:ascii="Garamond" w:hAnsi="Garamond"/>
          <w:lang w:val="es-CL"/>
        </w:rPr>
        <w:t xml:space="preserve"> (Montevideo, Buenos Aires, Editorial B de F, 2006), p. 5 acota que, “[y]a en la Edad Media, fueron los juristas italianos los primeros en abordar con cierta frecuencia, la cuestión relativa a si la influencia de las cualidades o relaciones del autor, agravantes o atenuantes de la pena, podrían extenderse a la punibilidad del ‘mandante’ (inductor) y del partícipe”, haciendo referencia a que las soluciones defendidas en ese contexto estarían influenciadas por el derecho romano (el parricidio en relación con la </w:t>
      </w:r>
      <w:r w:rsidRPr="00F36D62">
        <w:rPr>
          <w:rFonts w:ascii="Garamond" w:hAnsi="Garamond"/>
          <w:i/>
          <w:lang w:val="es-CL"/>
        </w:rPr>
        <w:t xml:space="preserve">Lex </w:t>
      </w:r>
      <w:proofErr w:type="spellStart"/>
      <w:r w:rsidRPr="00F36D62">
        <w:rPr>
          <w:rFonts w:ascii="Garamond" w:hAnsi="Garamond"/>
          <w:i/>
          <w:lang w:val="es-CL"/>
        </w:rPr>
        <w:t>Pompeja</w:t>
      </w:r>
      <w:proofErr w:type="spellEnd"/>
      <w:r w:rsidRPr="00F36D62">
        <w:rPr>
          <w:rFonts w:ascii="Garamond" w:hAnsi="Garamond"/>
          <w:i/>
          <w:lang w:val="es-CL"/>
        </w:rPr>
        <w:t xml:space="preserve"> de Parricidiis</w:t>
      </w:r>
      <w:r w:rsidRPr="00F36D62">
        <w:rPr>
          <w:rFonts w:ascii="Garamond" w:hAnsi="Garamond"/>
          <w:lang w:val="es-CL"/>
        </w:rPr>
        <w:t xml:space="preserve">). Por otro lado, </w:t>
      </w:r>
      <w:r w:rsidRPr="00F36D62">
        <w:rPr>
          <w:rFonts w:ascii="Garamond" w:hAnsi="Garamond"/>
          <w:smallCaps/>
          <w:lang w:val="es-CL"/>
        </w:rPr>
        <w:t>Pessina</w:t>
      </w:r>
      <w:r w:rsidRPr="00F36D62">
        <w:rPr>
          <w:rFonts w:ascii="Garamond" w:hAnsi="Garamond"/>
          <w:lang w:val="es-CL"/>
        </w:rPr>
        <w:t xml:space="preserve">, </w:t>
      </w:r>
      <w:r w:rsidRPr="00F36D62">
        <w:rPr>
          <w:rFonts w:ascii="Garamond" w:hAnsi="Garamond"/>
          <w:i/>
          <w:lang w:val="es-CL"/>
        </w:rPr>
        <w:t xml:space="preserve">Dei </w:t>
      </w:r>
      <w:proofErr w:type="spellStart"/>
      <w:r w:rsidRPr="00F36D62">
        <w:rPr>
          <w:rFonts w:ascii="Garamond" w:hAnsi="Garamond"/>
          <w:i/>
          <w:lang w:val="es-CL"/>
        </w:rPr>
        <w:t>progressi</w:t>
      </w:r>
      <w:proofErr w:type="spellEnd"/>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_Ref530472190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53</w:t>
      </w:r>
      <w:r w:rsidRPr="00F36D62">
        <w:rPr>
          <w:rFonts w:ascii="Garamond" w:hAnsi="Garamond"/>
          <w:lang w:val="es-CL"/>
        </w:rPr>
        <w:fldChar w:fldCharType="end"/>
      </w:r>
      <w:r w:rsidRPr="00F36D62">
        <w:rPr>
          <w:rFonts w:ascii="Garamond" w:hAnsi="Garamond"/>
          <w:lang w:val="es-CL"/>
        </w:rPr>
        <w:t>), p. 10 destaca, como una de las aportes a la legislación francesa, el reconocimiento en los códigos italianos de circunstancias personales que agravan, eliminan o disminuyen la responsabilidad de uno de los participantes sin extenderse a los otros, acotando que fue mérito del Código napolitano extender la aplicación de las circunstancias materiales a los que tuvieran conocimiento de ella.</w:t>
      </w:r>
    </w:p>
  </w:footnote>
  <w:footnote w:id="5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Pacheco</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5</w:t>
      </w:r>
      <w:r w:rsidRPr="00F36D62">
        <w:rPr>
          <w:rFonts w:ascii="Garamond" w:hAnsi="Garamond"/>
        </w:rPr>
        <w:fldChar w:fldCharType="end"/>
      </w:r>
      <w:r w:rsidRPr="00F36D62">
        <w:rPr>
          <w:rFonts w:ascii="Garamond" w:hAnsi="Garamond"/>
          <w:lang w:val="es-CL"/>
        </w:rPr>
        <w:t xml:space="preserve">), I, p. 398. </w:t>
      </w:r>
      <w:r w:rsidRPr="00F36D62">
        <w:rPr>
          <w:rFonts w:ascii="Garamond" w:hAnsi="Garamond"/>
        </w:rPr>
        <w:t xml:space="preserve">Otra opinión,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 225 y especialmente n. 23, planteando un origen francés. Sin embargo, además de no coincidir con los artículos 76 y 77 del Código Penal de 1810, en general, Pacheco utiliza la denominación que antecede a la referencia (“Cód. napol.”) en referencia al Código del Reino de las Dos Sicilias. Por otro lado, </w:t>
      </w:r>
      <w:r w:rsidRPr="00F36D62">
        <w:rPr>
          <w:rFonts w:ascii="Garamond" w:hAnsi="Garamond"/>
          <w:smallCaps/>
        </w:rPr>
        <w:t>Leiva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pp. 225-226, n. 23 sostiene que el artículo 69 del Código de 1848 “no tiene un correlato en su antecesor, esto es, el Código Penal español de 1822”, agregando que “la norma del artículo 69 no fue copiada del Código brasileño –el cual no contiene norma alguna sobre la materia–.” </w:t>
      </w:r>
      <w:r w:rsidR="004512FC" w:rsidRPr="00F36D62">
        <w:rPr>
          <w:rFonts w:ascii="Garamond" w:hAnsi="Garamond"/>
        </w:rPr>
        <w:t xml:space="preserve">Además, esta conclusión podría encontrar confirmación en los registros del proceso de redacción en la Comisión General de Códigos, a los que, desafortunadamente, no hemos podido tener acceso; por este proceso, </w:t>
      </w:r>
      <w:r w:rsidR="004512FC" w:rsidRPr="00F36D62">
        <w:rPr>
          <w:rFonts w:ascii="Garamond" w:hAnsi="Garamond"/>
          <w:i/>
        </w:rPr>
        <w:t>vid.</w:t>
      </w:r>
      <w:r w:rsidR="004512FC" w:rsidRPr="00F36D62">
        <w:rPr>
          <w:rFonts w:ascii="Garamond" w:hAnsi="Garamond"/>
        </w:rPr>
        <w:t xml:space="preserve"> </w:t>
      </w:r>
      <w:r w:rsidR="004512FC" w:rsidRPr="00F36D62">
        <w:rPr>
          <w:rFonts w:ascii="Garamond" w:hAnsi="Garamond"/>
          <w:smallCaps/>
        </w:rPr>
        <w:t>Iñesta</w:t>
      </w:r>
      <w:r w:rsidR="004512FC" w:rsidRPr="00F36D62">
        <w:rPr>
          <w:rFonts w:ascii="Garamond" w:hAnsi="Garamond"/>
        </w:rPr>
        <w:t xml:space="preserve">, </w:t>
      </w:r>
      <w:r w:rsidR="004512FC" w:rsidRPr="00F36D62">
        <w:rPr>
          <w:rFonts w:ascii="Garamond" w:hAnsi="Garamond"/>
          <w:i/>
        </w:rPr>
        <w:t>El Código Penal español</w:t>
      </w:r>
      <w:r w:rsidR="004512FC" w:rsidRPr="00F36D62">
        <w:rPr>
          <w:rFonts w:ascii="Garamond" w:hAnsi="Garamond"/>
        </w:rPr>
        <w:t xml:space="preserve">, cit. (n. </w:t>
      </w:r>
      <w:r w:rsidR="004512FC" w:rsidRPr="00F36D62">
        <w:rPr>
          <w:rFonts w:ascii="Garamond" w:hAnsi="Garamond"/>
        </w:rPr>
        <w:fldChar w:fldCharType="begin"/>
      </w:r>
      <w:r w:rsidR="004512FC" w:rsidRPr="00F36D62">
        <w:rPr>
          <w:rFonts w:ascii="Garamond" w:hAnsi="Garamond"/>
        </w:rPr>
        <w:instrText xml:space="preserve"> NOTEREF _Ref10120362 \h  \* MERGEFORMAT </w:instrText>
      </w:r>
      <w:r w:rsidR="004512FC" w:rsidRPr="00F36D62">
        <w:rPr>
          <w:rFonts w:ascii="Garamond" w:hAnsi="Garamond"/>
        </w:rPr>
      </w:r>
      <w:r w:rsidR="004512FC" w:rsidRPr="00F36D62">
        <w:rPr>
          <w:rFonts w:ascii="Garamond" w:hAnsi="Garamond"/>
        </w:rPr>
        <w:fldChar w:fldCharType="separate"/>
      </w:r>
      <w:r w:rsidR="004512FC" w:rsidRPr="00F36D62">
        <w:rPr>
          <w:rFonts w:ascii="Garamond" w:hAnsi="Garamond"/>
        </w:rPr>
        <w:t>40</w:t>
      </w:r>
      <w:r w:rsidR="004512FC" w:rsidRPr="00F36D62">
        <w:rPr>
          <w:rFonts w:ascii="Garamond" w:hAnsi="Garamond"/>
        </w:rPr>
        <w:fldChar w:fldCharType="end"/>
      </w:r>
      <w:r w:rsidR="004512FC" w:rsidRPr="00F36D62">
        <w:rPr>
          <w:rFonts w:ascii="Garamond" w:hAnsi="Garamond"/>
        </w:rPr>
        <w:t>)</w:t>
      </w:r>
      <w:r w:rsidR="004512FC" w:rsidRPr="00F36D62">
        <w:rPr>
          <w:rFonts w:ascii="Garamond" w:hAnsi="Garamond"/>
          <w:lang w:val="es-CL"/>
        </w:rPr>
        <w:t>, pp. 55-228</w:t>
      </w:r>
      <w:r w:rsidR="004512FC" w:rsidRPr="00F36D62">
        <w:rPr>
          <w:rFonts w:ascii="Garamond" w:hAnsi="Garamond"/>
        </w:rPr>
        <w:t>.</w:t>
      </w:r>
    </w:p>
  </w:footnote>
  <w:footnote w:id="5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Arabia</w:t>
      </w:r>
      <w:r w:rsidRPr="00F36D62">
        <w:rPr>
          <w:rFonts w:ascii="Garamond" w:hAnsi="Garamond"/>
          <w:lang w:val="es-CL"/>
        </w:rPr>
        <w:t xml:space="preserve">, cit. </w:t>
      </w:r>
      <w:r w:rsidRPr="00F36D62">
        <w:rPr>
          <w:rFonts w:ascii="Garamond" w:hAnsi="Garamond"/>
          <w:lang w:val="it-IT"/>
        </w:rPr>
        <w:t xml:space="preserve">(n.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xml:space="preserve">), II, pp. </w:t>
      </w:r>
      <w:r w:rsidRPr="00F36D62">
        <w:rPr>
          <w:rFonts w:ascii="Garamond" w:hAnsi="Garamond"/>
          <w:lang w:val="it-IT"/>
        </w:rPr>
        <w:t>185, 186 presenta el siguiente texto: “</w:t>
      </w:r>
      <w:r w:rsidRPr="00F36D62">
        <w:rPr>
          <w:rFonts w:ascii="Garamond" w:hAnsi="Garamond"/>
          <w:i/>
          <w:lang w:val="it-IT"/>
        </w:rPr>
        <w:t xml:space="preserve">le </w:t>
      </w:r>
      <w:r w:rsidRPr="00F36D62">
        <w:rPr>
          <w:rFonts w:ascii="Garamond" w:hAnsi="Garamond"/>
          <w:lang w:val="it-IT"/>
        </w:rPr>
        <w:t>circostanze personali</w:t>
      </w:r>
      <w:r w:rsidRPr="00F36D62">
        <w:rPr>
          <w:rFonts w:ascii="Garamond" w:hAnsi="Garamond"/>
          <w:i/>
          <w:lang w:val="it-IT"/>
        </w:rPr>
        <w:t xml:space="preserve"> che accrescono, tolgono o diminuiscono la pena di un complice o in uno degli autori del reato, nos giovano nè nuocciono agli altri”; “le </w:t>
      </w:r>
      <w:r w:rsidRPr="00F36D62">
        <w:rPr>
          <w:rFonts w:ascii="Garamond" w:hAnsi="Garamond"/>
          <w:lang w:val="it-IT"/>
        </w:rPr>
        <w:t>circostanze materiali</w:t>
      </w:r>
      <w:r w:rsidRPr="00F36D62">
        <w:rPr>
          <w:rFonts w:ascii="Garamond" w:hAnsi="Garamond"/>
          <w:i/>
          <w:lang w:val="it-IT"/>
        </w:rPr>
        <w:t xml:space="preserve"> che aggravano la pena di un reato, non nuocciono che agli autori, o a coloro tra i complici i quali ne hanno avuto la scienza nel momento dell'azione o de la cooperazione costitutiva de la loro reità</w:t>
      </w:r>
      <w:r w:rsidRPr="00F36D62">
        <w:rPr>
          <w:rFonts w:ascii="Garamond" w:hAnsi="Garamond"/>
          <w:lang w:val="it-IT"/>
        </w:rPr>
        <w:t xml:space="preserve">”. La versión que ofrece </w:t>
      </w:r>
      <w:r w:rsidRPr="00F36D62">
        <w:rPr>
          <w:rFonts w:ascii="Garamond" w:hAnsi="Garamond"/>
          <w:smallCaps/>
          <w:lang w:val="it-IT"/>
        </w:rPr>
        <w:t>Pacheco</w:t>
      </w:r>
      <w:r w:rsidRPr="00F36D62">
        <w:rPr>
          <w:rFonts w:ascii="Garamond" w:hAnsi="Garamond"/>
          <w:lang w:val="it-IT"/>
        </w:rPr>
        <w:t xml:space="preserve">, cit. </w:t>
      </w:r>
      <w:r w:rsidRPr="00F36D62">
        <w:rPr>
          <w:rFonts w:ascii="Garamond" w:hAnsi="Garamond"/>
        </w:rPr>
        <w:t xml:space="preserve">(n.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xml:space="preserve">), I, p. 398 diferente (no menciona las atenuantes personales). La primera parece ser la versión correcta. </w:t>
      </w:r>
    </w:p>
  </w:footnote>
  <w:footnote w:id="5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rPr>
        <w:t xml:space="preserve">Ello no pasó inadvertido a </w:t>
      </w:r>
      <w:r w:rsidRPr="00F36D62">
        <w:rPr>
          <w:rFonts w:ascii="Garamond" w:hAnsi="Garamond"/>
          <w:smallCaps/>
        </w:rPr>
        <w:t>Pacheco</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5</w:t>
      </w:r>
      <w:r w:rsidRPr="00F36D62">
        <w:rPr>
          <w:rFonts w:ascii="Garamond" w:hAnsi="Garamond"/>
        </w:rPr>
        <w:fldChar w:fldCharType="end"/>
      </w:r>
      <w:r w:rsidRPr="00F36D62">
        <w:rPr>
          <w:rFonts w:ascii="Garamond" w:hAnsi="Garamond"/>
          <w:lang w:val="es-CL"/>
        </w:rPr>
        <w:t xml:space="preserve">), I, p. 399, </w:t>
      </w:r>
      <w:r w:rsidRPr="00F36D62">
        <w:rPr>
          <w:rFonts w:ascii="Garamond" w:hAnsi="Garamond"/>
        </w:rPr>
        <w:t>quien reconoce que la solución del Código español sólo se hace cargo de una parte del problema</w:t>
      </w:r>
      <w:r w:rsidRPr="00F36D62">
        <w:rPr>
          <w:rFonts w:ascii="Garamond" w:hAnsi="Garamond"/>
          <w:lang w:val="es-CL"/>
        </w:rPr>
        <w:t>.</w:t>
      </w:r>
    </w:p>
  </w:footnote>
  <w:footnote w:id="60">
    <w:p w:rsidR="00306473" w:rsidRPr="00F36D62" w:rsidRDefault="00306473" w:rsidP="00E229F1">
      <w:pPr>
        <w:pStyle w:val="Textonotapie"/>
        <w:rPr>
          <w:rFonts w:ascii="Garamond" w:hAnsi="Garamond"/>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la demenza</w:t>
      </w:r>
      <w:r w:rsidRPr="00F36D62">
        <w:rPr>
          <w:rFonts w:ascii="Garamond" w:hAnsi="Garamond"/>
          <w:lang w:val="it-IT"/>
        </w:rPr>
        <w:t>”, “</w:t>
      </w:r>
      <w:r w:rsidRPr="00F36D62">
        <w:rPr>
          <w:rFonts w:ascii="Garamond" w:hAnsi="Garamond"/>
          <w:i/>
          <w:lang w:val="it-IT"/>
        </w:rPr>
        <w:t>lo stato di errore</w:t>
      </w:r>
      <w:r w:rsidRPr="00F36D62">
        <w:rPr>
          <w:rFonts w:ascii="Garamond" w:hAnsi="Garamond"/>
          <w:lang w:val="it-IT"/>
        </w:rPr>
        <w:t>”, “</w:t>
      </w:r>
      <w:r w:rsidRPr="00F36D62">
        <w:rPr>
          <w:rFonts w:ascii="Garamond" w:hAnsi="Garamond"/>
          <w:i/>
          <w:lang w:val="it-IT"/>
        </w:rPr>
        <w:t>di costringimento</w:t>
      </w:r>
      <w:r w:rsidRPr="00F36D62">
        <w:rPr>
          <w:rFonts w:ascii="Garamond" w:hAnsi="Garamond"/>
          <w:lang w:val="it-IT"/>
        </w:rPr>
        <w:t>”).</w:t>
      </w:r>
    </w:p>
  </w:footnote>
  <w:footnote w:id="61">
    <w:p w:rsidR="00306473" w:rsidRPr="00F36D62" w:rsidRDefault="00306473" w:rsidP="00E229F1">
      <w:pPr>
        <w:pStyle w:val="Textonotapie"/>
        <w:rPr>
          <w:rFonts w:ascii="Garamond" w:hAnsi="Garamond"/>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 xml:space="preserve">la qualità </w:t>
      </w:r>
      <w:r w:rsidRPr="00F36D62">
        <w:rPr>
          <w:rFonts w:ascii="Garamond" w:hAnsi="Garamond"/>
          <w:lang w:val="it-IT"/>
        </w:rPr>
        <w:t>[…]</w:t>
      </w:r>
      <w:r w:rsidRPr="00F36D62">
        <w:rPr>
          <w:rFonts w:ascii="Garamond" w:hAnsi="Garamond"/>
          <w:i/>
          <w:lang w:val="it-IT"/>
        </w:rPr>
        <w:t xml:space="preserve"> di padre, di marito, di fratello o sorella</w:t>
      </w:r>
      <w:r w:rsidRPr="00F36D62">
        <w:rPr>
          <w:rFonts w:ascii="Garamond" w:hAnsi="Garamond"/>
          <w:lang w:val="it-IT"/>
        </w:rPr>
        <w:t xml:space="preserve">”); aunque antes de analizar la legislación napolitana, </w:t>
      </w:r>
      <w:r w:rsidRPr="00F36D62">
        <w:rPr>
          <w:rFonts w:ascii="Garamond" w:hAnsi="Garamond"/>
          <w:smallCaps/>
          <w:lang w:val="it-IT"/>
        </w:rPr>
        <w:t>Pessina</w:t>
      </w:r>
      <w:r w:rsidRPr="00F36D62">
        <w:rPr>
          <w:rFonts w:ascii="Garamond" w:hAnsi="Garamond"/>
          <w:lang w:val="it-IT"/>
        </w:rPr>
        <w:t xml:space="preserve">, Enrico, </w:t>
      </w:r>
      <w:r w:rsidRPr="00F36D62">
        <w:rPr>
          <w:rFonts w:ascii="Garamond" w:hAnsi="Garamond"/>
          <w:i/>
          <w:lang w:val="it-IT"/>
        </w:rPr>
        <w:t>Propedeutica al Diritto Penale delle Due Sicilie</w:t>
      </w:r>
      <w:r w:rsidRPr="00F36D62">
        <w:rPr>
          <w:rFonts w:ascii="Garamond" w:hAnsi="Garamond"/>
          <w:lang w:val="it-IT"/>
        </w:rPr>
        <w:t xml:space="preserve"> (Napoli, Stabilimento Tipografico dei Classici Italiani, 1858), p. 136 hace una referencia al hijo respecto del padre. Más general, </w:t>
      </w:r>
      <w:r w:rsidRPr="00F36D62">
        <w:rPr>
          <w:rFonts w:ascii="Garamond" w:hAnsi="Garamond"/>
          <w:smallCaps/>
          <w:lang w:val="it-IT"/>
        </w:rPr>
        <w:t>Nicolini</w:t>
      </w:r>
      <w:r w:rsidRPr="00F36D62">
        <w:rPr>
          <w:rFonts w:ascii="Garamond" w:hAnsi="Garamond"/>
          <w:lang w:val="it-IT"/>
        </w:rPr>
        <w:t xml:space="preserve">, Niccola, </w:t>
      </w:r>
      <w:r w:rsidRPr="00F36D62">
        <w:rPr>
          <w:rFonts w:ascii="Garamond" w:hAnsi="Garamond"/>
          <w:i/>
          <w:lang w:val="it-IT"/>
        </w:rPr>
        <w:t>Quistioni di diritto trattate nell conclusioni, ne’ discorsi ed in altri scritti legali</w:t>
      </w:r>
      <w:r w:rsidRPr="00F36D62">
        <w:rPr>
          <w:rFonts w:ascii="Garamond" w:hAnsi="Garamond"/>
          <w:lang w:val="it-IT"/>
        </w:rPr>
        <w:t xml:space="preserve"> (Napoli, Tipografia Prete Largo Avelino, 1869), I, p. 552 (“</w:t>
      </w:r>
      <w:r w:rsidRPr="00F36D62">
        <w:rPr>
          <w:rFonts w:ascii="Garamond" w:hAnsi="Garamond"/>
          <w:i/>
          <w:lang w:val="it-IT"/>
        </w:rPr>
        <w:t>congiunzione di sangue</w:t>
      </w:r>
      <w:r w:rsidRPr="00F36D62">
        <w:rPr>
          <w:rFonts w:ascii="Garamond" w:hAnsi="Garamond"/>
          <w:lang w:val="it-IT"/>
        </w:rPr>
        <w:t>”).</w:t>
      </w:r>
    </w:p>
  </w:footnote>
  <w:footnote w:id="62">
    <w:p w:rsidR="00306473" w:rsidRPr="00F36D62" w:rsidRDefault="00306473" w:rsidP="00E229F1">
      <w:pPr>
        <w:pStyle w:val="Textonotapie"/>
        <w:rPr>
          <w:rFonts w:ascii="Garamond" w:hAnsi="Garamond"/>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di domestico</w:t>
      </w:r>
      <w:r w:rsidRPr="00F36D62">
        <w:rPr>
          <w:rFonts w:ascii="Garamond" w:hAnsi="Garamond"/>
          <w:lang w:val="it-IT"/>
        </w:rPr>
        <w:t xml:space="preserve">”). Citando una sentencia, la menciona </w:t>
      </w:r>
      <w:r w:rsidRPr="00F36D62">
        <w:rPr>
          <w:rFonts w:ascii="Garamond" w:hAnsi="Garamond"/>
          <w:smallCaps/>
          <w:lang w:val="it-IT"/>
        </w:rPr>
        <w:t>Saluto</w:t>
      </w:r>
      <w:r w:rsidRPr="00F36D62">
        <w:rPr>
          <w:rFonts w:ascii="Garamond" w:hAnsi="Garamond"/>
          <w:lang w:val="it-IT"/>
        </w:rPr>
        <w:t xml:space="preserve">, Francesco, </w:t>
      </w:r>
      <w:r w:rsidRPr="00F36D62">
        <w:rPr>
          <w:rFonts w:ascii="Garamond" w:hAnsi="Garamond"/>
          <w:i/>
          <w:lang w:val="it-IT"/>
        </w:rPr>
        <w:t>Diritto penale secondo l’ ordine del Codice per lo Regno delle Due Sigilie</w:t>
      </w:r>
      <w:r w:rsidRPr="00F36D62">
        <w:rPr>
          <w:rFonts w:ascii="Garamond" w:hAnsi="Garamond"/>
          <w:lang w:val="it-IT"/>
        </w:rPr>
        <w:t xml:space="preserve"> (Palermo, Tipografia di Pietro Morvillo, 1858), I, pp. 273-274.</w:t>
      </w:r>
    </w:p>
  </w:footnote>
  <w:footnote w:id="63">
    <w:p w:rsidR="00306473" w:rsidRPr="00F36D62" w:rsidRDefault="00306473" w:rsidP="00E229F1">
      <w:pPr>
        <w:pStyle w:val="Textonotapie"/>
        <w:rPr>
          <w:rFonts w:ascii="Garamond" w:hAnsi="Garamond"/>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w:t>
      </w:r>
      <w:r w:rsidRPr="00F36D62">
        <w:rPr>
          <w:rFonts w:ascii="Garamond" w:hAnsi="Garamond"/>
          <w:lang w:val="it-IT"/>
        </w:rPr>
        <w:t xml:space="preserve">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d‘oste, di locandiere</w:t>
      </w:r>
      <w:r w:rsidRPr="00F36D62">
        <w:rPr>
          <w:rFonts w:ascii="Garamond" w:hAnsi="Garamond"/>
          <w:lang w:val="it-IT"/>
        </w:rPr>
        <w:t>”, “</w:t>
      </w:r>
      <w:r w:rsidRPr="00F36D62">
        <w:rPr>
          <w:rFonts w:ascii="Garamond" w:hAnsi="Garamond"/>
          <w:i/>
          <w:lang w:val="it-IT"/>
        </w:rPr>
        <w:t>di tutore</w:t>
      </w:r>
      <w:r w:rsidRPr="00F36D62">
        <w:rPr>
          <w:rFonts w:ascii="Garamond" w:hAnsi="Garamond"/>
          <w:lang w:val="it-IT"/>
        </w:rPr>
        <w:t xml:space="preserve">”). </w:t>
      </w:r>
    </w:p>
  </w:footnote>
  <w:footnote w:id="64">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la qualità di pubblico funzionario o impiegato</w:t>
      </w:r>
      <w:r w:rsidRPr="00F36D62">
        <w:rPr>
          <w:rFonts w:ascii="Garamond" w:hAnsi="Garamond"/>
          <w:lang w:val="it-IT"/>
        </w:rPr>
        <w:t>”).</w:t>
      </w:r>
    </w:p>
  </w:footnote>
  <w:footnote w:id="65">
    <w:p w:rsidR="00306473" w:rsidRPr="00F36D62" w:rsidRDefault="00306473" w:rsidP="00E229F1">
      <w:pPr>
        <w:pStyle w:val="Textonotapie"/>
        <w:rPr>
          <w:rFonts w:ascii="Garamond" w:hAnsi="Garamond"/>
          <w:i/>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l'età</w:t>
      </w:r>
      <w:r w:rsidRPr="00F36D62">
        <w:rPr>
          <w:rFonts w:ascii="Garamond" w:hAnsi="Garamond"/>
          <w:lang w:val="it-IT"/>
        </w:rPr>
        <w:t xml:space="preserve">”); </w:t>
      </w:r>
      <w:r w:rsidRPr="00F36D62">
        <w:rPr>
          <w:rFonts w:ascii="Garamond" w:hAnsi="Garamond"/>
          <w:smallCaps/>
          <w:lang w:val="it-IT"/>
        </w:rPr>
        <w:t>Nicolini</w:t>
      </w:r>
      <w:r w:rsidRPr="00F36D62">
        <w:rPr>
          <w:rFonts w:ascii="Garamond" w:hAnsi="Garamond"/>
          <w:lang w:val="it-IT"/>
        </w:rPr>
        <w:t xml:space="preserve">, </w:t>
      </w:r>
      <w:r w:rsidRPr="00F36D62">
        <w:rPr>
          <w:rFonts w:ascii="Garamond" w:hAnsi="Garamond"/>
          <w:i/>
          <w:lang w:val="it-IT"/>
        </w:rPr>
        <w:t>Quistioni di diritto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lang w:val="it-IT"/>
        </w:rPr>
        <w:fldChar w:fldCharType="begin"/>
      </w:r>
      <w:r w:rsidRPr="00F36D62">
        <w:rPr>
          <w:rFonts w:ascii="Garamond" w:hAnsi="Garamond"/>
          <w:lang w:val="es-CL"/>
        </w:rPr>
        <w:instrText xml:space="preserve"> NOTEREF _Ref7372387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es-CL"/>
        </w:rPr>
        <w:t>61</w:t>
      </w:r>
      <w:r w:rsidRPr="00F36D62">
        <w:rPr>
          <w:rFonts w:ascii="Garamond" w:hAnsi="Garamond"/>
          <w:lang w:val="it-IT"/>
        </w:rPr>
        <w:fldChar w:fldCharType="end"/>
      </w:r>
      <w:r w:rsidRPr="00F36D62">
        <w:rPr>
          <w:rFonts w:ascii="Garamond" w:hAnsi="Garamond"/>
          <w:lang w:val="es-CL"/>
        </w:rPr>
        <w:t>), p. 540 (“</w:t>
      </w:r>
      <w:r w:rsidRPr="00F36D62">
        <w:rPr>
          <w:rFonts w:ascii="Garamond" w:hAnsi="Garamond"/>
          <w:i/>
          <w:lang w:val="es-CL"/>
        </w:rPr>
        <w:t xml:space="preserve">l' </w:t>
      </w:r>
      <w:proofErr w:type="spellStart"/>
      <w:r w:rsidRPr="00F36D62">
        <w:rPr>
          <w:rFonts w:ascii="Garamond" w:hAnsi="Garamond"/>
          <w:i/>
          <w:lang w:val="es-CL"/>
        </w:rPr>
        <w:t>età</w:t>
      </w:r>
      <w:proofErr w:type="spellEnd"/>
      <w:r w:rsidRPr="00F36D62">
        <w:rPr>
          <w:rFonts w:ascii="Garamond" w:hAnsi="Garamond"/>
          <w:lang w:val="es-CL"/>
        </w:rPr>
        <w:t>”)</w:t>
      </w:r>
      <w:r w:rsidRPr="00F36D62">
        <w:rPr>
          <w:rFonts w:ascii="Garamond" w:hAnsi="Garamond"/>
        </w:rPr>
        <w:t xml:space="preserve">; desde una perspectiva histórica y positiva, </w:t>
      </w:r>
      <w:r w:rsidRPr="00F36D62">
        <w:rPr>
          <w:rFonts w:ascii="Garamond" w:hAnsi="Garamond"/>
          <w:smallCaps/>
          <w:lang w:val="es-CL"/>
        </w:rPr>
        <w:t>Pessina</w:t>
      </w:r>
      <w:r w:rsidRPr="00F36D62">
        <w:rPr>
          <w:rFonts w:ascii="Garamond" w:hAnsi="Garamond"/>
          <w:lang w:val="es-CL"/>
        </w:rPr>
        <w:t xml:space="preserve">, </w:t>
      </w:r>
      <w:proofErr w:type="spellStart"/>
      <w:r w:rsidRPr="00F36D62">
        <w:rPr>
          <w:rFonts w:ascii="Garamond" w:hAnsi="Garamond"/>
          <w:i/>
          <w:lang w:val="es-CL"/>
        </w:rPr>
        <w:t>Propedeutica</w:t>
      </w:r>
      <w:proofErr w:type="spellEnd"/>
      <w:r w:rsidRPr="00F36D62">
        <w:rPr>
          <w:rFonts w:ascii="Garamond" w:hAnsi="Garamond"/>
          <w:lang w:val="es-CL"/>
        </w:rPr>
        <w:t xml:space="preserve">, cit. </w:t>
      </w:r>
      <w:r w:rsidRPr="00F36D62">
        <w:rPr>
          <w:rFonts w:ascii="Garamond" w:hAnsi="Garamond"/>
          <w:lang w:val="it-IT"/>
        </w:rPr>
        <w:t xml:space="preserve">(n. </w:t>
      </w:r>
      <w:r w:rsidRPr="00F36D62">
        <w:rPr>
          <w:rFonts w:ascii="Garamond" w:hAnsi="Garamond"/>
          <w:lang w:val="it-IT"/>
        </w:rPr>
        <w:fldChar w:fldCharType="begin"/>
      </w:r>
      <w:r w:rsidRPr="00F36D62">
        <w:rPr>
          <w:rFonts w:ascii="Garamond" w:hAnsi="Garamond"/>
          <w:lang w:val="it-IT"/>
        </w:rPr>
        <w:instrText xml:space="preserve"> NOTEREF _Ref7372387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61</w:t>
      </w:r>
      <w:r w:rsidRPr="00F36D62">
        <w:rPr>
          <w:rFonts w:ascii="Garamond" w:hAnsi="Garamond"/>
          <w:lang w:val="it-IT"/>
        </w:rPr>
        <w:fldChar w:fldCharType="end"/>
      </w:r>
      <w:r w:rsidRPr="00F36D62">
        <w:rPr>
          <w:rFonts w:ascii="Garamond" w:hAnsi="Garamond"/>
          <w:lang w:val="it-IT"/>
        </w:rPr>
        <w:t>), pp. 136, 139 (“</w:t>
      </w:r>
      <w:r w:rsidRPr="00F36D62">
        <w:rPr>
          <w:rFonts w:ascii="Garamond" w:hAnsi="Garamond"/>
          <w:i/>
          <w:lang w:val="it-IT"/>
        </w:rPr>
        <w:t>l' età minore la vecchiezza</w:t>
      </w:r>
      <w:r w:rsidRPr="00F36D62">
        <w:rPr>
          <w:rFonts w:ascii="Garamond" w:hAnsi="Garamond"/>
          <w:lang w:val="it-IT"/>
        </w:rPr>
        <w:t>”; “</w:t>
      </w:r>
      <w:r w:rsidRPr="00F36D62">
        <w:rPr>
          <w:rFonts w:ascii="Garamond" w:hAnsi="Garamond"/>
          <w:i/>
          <w:lang w:val="it-IT"/>
        </w:rPr>
        <w:t>all' età minore</w:t>
      </w:r>
      <w:r w:rsidRPr="00F36D62">
        <w:rPr>
          <w:rFonts w:ascii="Garamond" w:hAnsi="Garamond"/>
          <w:lang w:val="it-IT"/>
        </w:rPr>
        <w:t xml:space="preserve">”). </w:t>
      </w:r>
    </w:p>
  </w:footnote>
  <w:footnote w:id="66">
    <w:p w:rsidR="00306473" w:rsidRPr="00F36D62" w:rsidRDefault="00306473" w:rsidP="00E229F1">
      <w:pPr>
        <w:pStyle w:val="Textonotapie"/>
        <w:rPr>
          <w:rFonts w:ascii="Garamond" w:hAnsi="Garamond"/>
          <w:lang w:val="it-IT"/>
        </w:rPr>
      </w:pPr>
      <w:r w:rsidRPr="00F36D62">
        <w:rPr>
          <w:rStyle w:val="Refdenotaalpie"/>
          <w:rFonts w:ascii="Garamond" w:hAnsi="Garamond"/>
          <w:lang w:val="it-IT"/>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_Ref7358752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5</w:t>
      </w:r>
      <w:r w:rsidRPr="00F36D62">
        <w:rPr>
          <w:rFonts w:ascii="Garamond" w:hAnsi="Garamond"/>
          <w:lang w:val="it-IT"/>
        </w:rPr>
        <w:fldChar w:fldCharType="end"/>
      </w:r>
      <w:r w:rsidRPr="00F36D62">
        <w:rPr>
          <w:rFonts w:ascii="Garamond" w:hAnsi="Garamond"/>
          <w:lang w:val="it-IT"/>
        </w:rPr>
        <w:t>), II, p. 185 (“</w:t>
      </w:r>
      <w:r w:rsidRPr="00F36D62">
        <w:rPr>
          <w:rFonts w:ascii="Garamond" w:hAnsi="Garamond"/>
          <w:i/>
          <w:lang w:val="it-IT"/>
        </w:rPr>
        <w:t>di reiteratore, di recidivo</w:t>
      </w:r>
      <w:r w:rsidRPr="00F36D62">
        <w:rPr>
          <w:rFonts w:ascii="Garamond" w:hAnsi="Garamond"/>
          <w:lang w:val="it-IT"/>
        </w:rPr>
        <w:t xml:space="preserve">”); </w:t>
      </w:r>
      <w:r w:rsidRPr="00F36D62">
        <w:rPr>
          <w:rFonts w:ascii="Garamond" w:hAnsi="Garamond"/>
          <w:smallCaps/>
          <w:lang w:val="it-IT"/>
        </w:rPr>
        <w:t>Nicolini</w:t>
      </w:r>
      <w:r w:rsidRPr="00F36D62">
        <w:rPr>
          <w:rFonts w:ascii="Garamond" w:hAnsi="Garamond"/>
          <w:lang w:val="it-IT"/>
        </w:rPr>
        <w:t xml:space="preserve">, </w:t>
      </w:r>
      <w:r w:rsidRPr="00F36D62">
        <w:rPr>
          <w:rFonts w:ascii="Garamond" w:hAnsi="Garamond"/>
          <w:i/>
          <w:lang w:val="it-IT"/>
        </w:rPr>
        <w:t>Quistioni di diritto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lang w:val="it-IT"/>
        </w:rPr>
        <w:fldChar w:fldCharType="begin"/>
      </w:r>
      <w:r w:rsidRPr="00F36D62">
        <w:rPr>
          <w:rFonts w:ascii="Garamond" w:hAnsi="Garamond"/>
          <w:lang w:val="es-CL"/>
        </w:rPr>
        <w:instrText xml:space="preserve"> NOTEREF _Ref7372387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es-CL"/>
        </w:rPr>
        <w:t>61</w:t>
      </w:r>
      <w:r w:rsidRPr="00F36D62">
        <w:rPr>
          <w:rFonts w:ascii="Garamond" w:hAnsi="Garamond"/>
          <w:lang w:val="it-IT"/>
        </w:rPr>
        <w:fldChar w:fldCharType="end"/>
      </w:r>
      <w:r w:rsidRPr="00F36D62">
        <w:rPr>
          <w:rFonts w:ascii="Garamond" w:hAnsi="Garamond"/>
          <w:lang w:val="es-CL"/>
        </w:rPr>
        <w:t>), pp. 540 (“</w:t>
      </w:r>
      <w:r w:rsidRPr="00F36D62">
        <w:rPr>
          <w:rFonts w:ascii="Garamond" w:hAnsi="Garamond"/>
          <w:i/>
          <w:lang w:val="es-CL"/>
        </w:rPr>
        <w:t>la recidiva</w:t>
      </w:r>
      <w:r w:rsidRPr="00F36D62">
        <w:rPr>
          <w:rFonts w:ascii="Garamond" w:hAnsi="Garamond"/>
          <w:lang w:val="es-CL"/>
        </w:rPr>
        <w:t>), 552 (“</w:t>
      </w:r>
      <w:proofErr w:type="spellStart"/>
      <w:r w:rsidRPr="00F36D62">
        <w:rPr>
          <w:rFonts w:ascii="Garamond" w:hAnsi="Garamond"/>
          <w:i/>
          <w:lang w:val="es-CL"/>
        </w:rPr>
        <w:t>recidive</w:t>
      </w:r>
      <w:proofErr w:type="spellEnd"/>
      <w:r w:rsidRPr="00F36D62">
        <w:rPr>
          <w:rFonts w:ascii="Garamond" w:hAnsi="Garamond"/>
          <w:lang w:val="es-CL"/>
        </w:rPr>
        <w:t xml:space="preserve">”); aunque antes de analizar la legislación napolitana, </w:t>
      </w:r>
      <w:r w:rsidRPr="00F36D62">
        <w:rPr>
          <w:rFonts w:ascii="Garamond" w:hAnsi="Garamond"/>
          <w:smallCaps/>
          <w:lang w:val="es-CL"/>
        </w:rPr>
        <w:t>Pessina</w:t>
      </w:r>
      <w:r w:rsidRPr="00F36D62">
        <w:rPr>
          <w:rFonts w:ascii="Garamond" w:hAnsi="Garamond"/>
          <w:lang w:val="es-CL"/>
        </w:rPr>
        <w:t xml:space="preserve">, </w:t>
      </w:r>
      <w:proofErr w:type="spellStart"/>
      <w:r w:rsidRPr="00F36D62">
        <w:rPr>
          <w:rFonts w:ascii="Garamond" w:hAnsi="Garamond"/>
          <w:i/>
          <w:lang w:val="es-CL"/>
        </w:rPr>
        <w:t>Propedeutica</w:t>
      </w:r>
      <w:proofErr w:type="spellEnd"/>
      <w:r w:rsidRPr="00F36D62">
        <w:rPr>
          <w:rFonts w:ascii="Garamond" w:hAnsi="Garamond"/>
          <w:lang w:val="es-CL"/>
        </w:rPr>
        <w:t xml:space="preserve">, cit. </w:t>
      </w:r>
      <w:r w:rsidRPr="00F36D62">
        <w:rPr>
          <w:rFonts w:ascii="Garamond" w:hAnsi="Garamond"/>
          <w:lang w:val="it-IT"/>
        </w:rPr>
        <w:t xml:space="preserve">(n. </w:t>
      </w:r>
      <w:r w:rsidRPr="00F36D62">
        <w:rPr>
          <w:rFonts w:ascii="Garamond" w:hAnsi="Garamond"/>
          <w:lang w:val="it-IT"/>
        </w:rPr>
        <w:fldChar w:fldCharType="begin"/>
      </w:r>
      <w:r w:rsidRPr="00F36D62">
        <w:rPr>
          <w:rFonts w:ascii="Garamond" w:hAnsi="Garamond"/>
          <w:lang w:val="it-IT"/>
        </w:rPr>
        <w:instrText xml:space="preserve"> NOTEREF _Ref7372387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61</w:t>
      </w:r>
      <w:r w:rsidRPr="00F36D62">
        <w:rPr>
          <w:rFonts w:ascii="Garamond" w:hAnsi="Garamond"/>
          <w:lang w:val="it-IT"/>
        </w:rPr>
        <w:fldChar w:fldCharType="end"/>
      </w:r>
      <w:r w:rsidRPr="00F36D62">
        <w:rPr>
          <w:rFonts w:ascii="Garamond" w:hAnsi="Garamond"/>
          <w:lang w:val="it-IT"/>
        </w:rPr>
        <w:t xml:space="preserve">), p. 136 (“[…] </w:t>
      </w:r>
      <w:r w:rsidRPr="00F36D62">
        <w:rPr>
          <w:rFonts w:ascii="Garamond" w:hAnsi="Garamond"/>
          <w:i/>
          <w:lang w:val="it-IT"/>
        </w:rPr>
        <w:t>quando un individuo per aver antecedentemente commesso un altro reato</w:t>
      </w:r>
      <w:r w:rsidRPr="00F36D62">
        <w:rPr>
          <w:rFonts w:ascii="Garamond" w:hAnsi="Garamond"/>
          <w:lang w:val="it-IT"/>
        </w:rPr>
        <w:t xml:space="preserve"> […]”). </w:t>
      </w:r>
    </w:p>
  </w:footnote>
  <w:footnote w:id="67">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II, p. 186-187 (“</w:t>
      </w:r>
      <w:r w:rsidRPr="00F36D62">
        <w:rPr>
          <w:rFonts w:ascii="Garamond" w:hAnsi="Garamond"/>
          <w:i/>
          <w:lang w:val="it-IT"/>
        </w:rPr>
        <w:t>luogo</w:t>
      </w:r>
      <w:r w:rsidRPr="00F36D62">
        <w:rPr>
          <w:rFonts w:ascii="Garamond" w:hAnsi="Garamond"/>
          <w:lang w:val="it-IT"/>
        </w:rPr>
        <w:t>”, “</w:t>
      </w:r>
      <w:r w:rsidRPr="00F36D62">
        <w:rPr>
          <w:rFonts w:ascii="Garamond" w:hAnsi="Garamond"/>
          <w:i/>
          <w:lang w:val="it-IT"/>
        </w:rPr>
        <w:t>tempo</w:t>
      </w:r>
      <w:r w:rsidRPr="00F36D62">
        <w:rPr>
          <w:rFonts w:ascii="Garamond" w:hAnsi="Garamond"/>
          <w:lang w:val="it-IT"/>
        </w:rPr>
        <w:t>”).</w:t>
      </w:r>
    </w:p>
  </w:footnote>
  <w:footnote w:id="68">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II, p. 186-187 (“</w:t>
      </w:r>
      <w:r w:rsidRPr="00F36D62">
        <w:rPr>
          <w:rFonts w:ascii="Garamond" w:hAnsi="Garamond"/>
          <w:i/>
          <w:lang w:val="it-IT"/>
        </w:rPr>
        <w:t>mezzo</w:t>
      </w:r>
      <w:r w:rsidRPr="00F36D62">
        <w:rPr>
          <w:rFonts w:ascii="Garamond" w:hAnsi="Garamond"/>
          <w:lang w:val="it-IT"/>
        </w:rPr>
        <w:t xml:space="preserve">”). </w:t>
      </w:r>
    </w:p>
  </w:footnote>
  <w:footnote w:id="69">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II, p. 186-187 (“</w:t>
      </w:r>
      <w:r w:rsidRPr="00F36D62">
        <w:rPr>
          <w:rFonts w:ascii="Garamond" w:hAnsi="Garamond"/>
          <w:i/>
          <w:lang w:val="it-IT"/>
        </w:rPr>
        <w:t>gravezza del danno prodotto</w:t>
      </w:r>
      <w:r w:rsidRPr="00F36D62">
        <w:rPr>
          <w:rFonts w:ascii="Garamond" w:hAnsi="Garamond"/>
          <w:lang w:val="it-IT"/>
        </w:rPr>
        <w:t xml:space="preserve">”). </w:t>
      </w:r>
    </w:p>
  </w:footnote>
  <w:footnote w:id="70">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En este sentido, </w:t>
      </w:r>
      <w:r w:rsidRPr="00F36D62">
        <w:rPr>
          <w:rFonts w:ascii="Garamond" w:hAnsi="Garamond"/>
          <w:smallCaps/>
        </w:rPr>
        <w:t>Pessina</w:t>
      </w:r>
      <w:r w:rsidRPr="00F36D62">
        <w:rPr>
          <w:rFonts w:ascii="Garamond" w:hAnsi="Garamond"/>
        </w:rPr>
        <w:t xml:space="preserve">, </w:t>
      </w:r>
      <w:r w:rsidRPr="00F36D62">
        <w:rPr>
          <w:rFonts w:ascii="Garamond" w:hAnsi="Garamond"/>
          <w:i/>
        </w:rPr>
        <w:t>Elementos de 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_Ref530472190 \h  \* MERGEFORMAT </w:instrText>
      </w:r>
      <w:r w:rsidRPr="00F36D62">
        <w:rPr>
          <w:rFonts w:ascii="Garamond" w:hAnsi="Garamond"/>
        </w:rPr>
      </w:r>
      <w:r w:rsidRPr="00F36D62">
        <w:rPr>
          <w:rFonts w:ascii="Garamond" w:hAnsi="Garamond"/>
        </w:rPr>
        <w:fldChar w:fldCharType="separate"/>
      </w:r>
      <w:r w:rsidRPr="00F36D62">
        <w:rPr>
          <w:rFonts w:ascii="Garamond" w:hAnsi="Garamond"/>
        </w:rPr>
        <w:t>53</w:t>
      </w:r>
      <w:r w:rsidRPr="00F36D62">
        <w:rPr>
          <w:rFonts w:ascii="Garamond" w:hAnsi="Garamond"/>
        </w:rPr>
        <w:fldChar w:fldCharType="end"/>
      </w:r>
      <w:r w:rsidRPr="00F36D62">
        <w:rPr>
          <w:rFonts w:ascii="Garamond" w:hAnsi="Garamond"/>
        </w:rPr>
        <w:t xml:space="preserve">), p. 135. En términos generales, </w:t>
      </w:r>
      <w:r w:rsidRPr="00F36D62">
        <w:rPr>
          <w:rFonts w:ascii="Garamond" w:hAnsi="Garamond"/>
          <w:smallCaps/>
        </w:rPr>
        <w:t>Antolisei</w:t>
      </w:r>
      <w:r w:rsidRPr="00F36D62">
        <w:rPr>
          <w:rFonts w:ascii="Garamond" w:hAnsi="Garamond"/>
        </w:rPr>
        <w:t xml:space="preserve">, Francesco, </w:t>
      </w:r>
      <w:r w:rsidRPr="00F36D62">
        <w:rPr>
          <w:rFonts w:ascii="Garamond" w:hAnsi="Garamond"/>
          <w:i/>
        </w:rPr>
        <w:t>Manual de Derecho Penal. Parte general</w:t>
      </w:r>
      <w:r w:rsidRPr="00F36D62">
        <w:rPr>
          <w:rFonts w:ascii="Garamond" w:hAnsi="Garamond"/>
        </w:rPr>
        <w:t xml:space="preserve"> (trad. cast., Buenos Aires, </w:t>
      </w:r>
      <w:proofErr w:type="spellStart"/>
      <w:r w:rsidRPr="00F36D62">
        <w:rPr>
          <w:rFonts w:ascii="Garamond" w:hAnsi="Garamond"/>
        </w:rPr>
        <w:t>UTEHA</w:t>
      </w:r>
      <w:proofErr w:type="spellEnd"/>
      <w:r w:rsidRPr="00F36D62">
        <w:rPr>
          <w:rFonts w:ascii="Garamond" w:hAnsi="Garamond"/>
        </w:rPr>
        <w:t>, 1960), p. 16.</w:t>
      </w:r>
    </w:p>
  </w:footnote>
  <w:footnote w:id="71">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Cf. </w:t>
      </w:r>
      <w:r w:rsidRPr="00F36D62">
        <w:rPr>
          <w:rFonts w:ascii="Garamond" w:hAnsi="Garamond"/>
          <w:smallCaps/>
          <w:lang w:val="it-IT"/>
        </w:rPr>
        <w:t>Nicolini</w:t>
      </w:r>
      <w:r w:rsidRPr="00F36D62">
        <w:rPr>
          <w:rFonts w:ascii="Garamond" w:hAnsi="Garamond"/>
          <w:lang w:val="it-IT"/>
        </w:rPr>
        <w:t xml:space="preserve">, </w:t>
      </w:r>
      <w:r w:rsidRPr="00F36D62">
        <w:rPr>
          <w:rFonts w:ascii="Garamond" w:hAnsi="Garamond"/>
          <w:i/>
          <w:lang w:val="it-IT"/>
        </w:rPr>
        <w:t>Quistioni di diritto</w:t>
      </w:r>
      <w:r w:rsidRPr="00F36D62">
        <w:rPr>
          <w:rFonts w:ascii="Garamond" w:hAnsi="Garamond"/>
          <w:lang w:val="it-IT"/>
        </w:rPr>
        <w:t xml:space="preserve">, cit. (n. </w:t>
      </w:r>
      <w:r w:rsidRPr="00F36D62">
        <w:rPr>
          <w:rFonts w:ascii="Garamond" w:hAnsi="Garamond"/>
          <w:lang w:val="it-IT"/>
        </w:rPr>
        <w:fldChar w:fldCharType="begin"/>
      </w:r>
      <w:r w:rsidRPr="00F36D62">
        <w:rPr>
          <w:rFonts w:ascii="Garamond" w:hAnsi="Garamond"/>
          <w:lang w:val="it-IT"/>
        </w:rPr>
        <w:instrText xml:space="preserve"> NOTEREF _Ref7372387 \h  \* MERGEFORMAT </w:instrText>
      </w:r>
      <w:r w:rsidRPr="00F36D62">
        <w:rPr>
          <w:rFonts w:ascii="Garamond" w:hAnsi="Garamond"/>
          <w:lang w:val="it-IT"/>
        </w:rPr>
      </w:r>
      <w:r w:rsidRPr="00F36D62">
        <w:rPr>
          <w:rFonts w:ascii="Garamond" w:hAnsi="Garamond"/>
          <w:lang w:val="it-IT"/>
        </w:rPr>
        <w:fldChar w:fldCharType="separate"/>
      </w:r>
      <w:r w:rsidRPr="00F36D62">
        <w:rPr>
          <w:rFonts w:ascii="Garamond" w:hAnsi="Garamond"/>
          <w:lang w:val="it-IT"/>
        </w:rPr>
        <w:t>61</w:t>
      </w:r>
      <w:r w:rsidRPr="00F36D62">
        <w:rPr>
          <w:rFonts w:ascii="Garamond" w:hAnsi="Garamond"/>
          <w:lang w:val="it-IT"/>
        </w:rPr>
        <w:fldChar w:fldCharType="end"/>
      </w:r>
      <w:r w:rsidRPr="00F36D62">
        <w:rPr>
          <w:rFonts w:ascii="Garamond" w:hAnsi="Garamond"/>
          <w:lang w:val="it-IT"/>
        </w:rPr>
        <w:t xml:space="preserve">), p. 559. </w:t>
      </w:r>
    </w:p>
  </w:footnote>
  <w:footnote w:id="72">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i/>
          <w:lang w:val="it-IT"/>
        </w:rPr>
        <w:t>Vid.</w:t>
      </w:r>
      <w:r w:rsidRPr="00F36D62">
        <w:rPr>
          <w:rFonts w:ascii="Garamond" w:hAnsi="Garamond"/>
          <w:lang w:val="it-IT"/>
        </w:rPr>
        <w:t xml:space="preserve"> </w:t>
      </w:r>
      <w:r w:rsidRPr="00F36D62">
        <w:rPr>
          <w:rFonts w:ascii="Garamond" w:hAnsi="Garamond"/>
          <w:smallCaps/>
          <w:lang w:val="it-IT"/>
        </w:rPr>
        <w:t>Saluto</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_Ref7377654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62</w:t>
      </w:r>
      <w:r w:rsidRPr="00F36D62">
        <w:rPr>
          <w:rFonts w:ascii="Garamond" w:hAnsi="Garamond"/>
        </w:rPr>
        <w:fldChar w:fldCharType="end"/>
      </w:r>
      <w:r w:rsidRPr="00F36D62">
        <w:rPr>
          <w:rFonts w:ascii="Garamond" w:hAnsi="Garamond"/>
          <w:lang w:val="it-IT"/>
        </w:rPr>
        <w:t xml:space="preserve">), I, pp. 273-274. </w:t>
      </w:r>
    </w:p>
  </w:footnote>
  <w:footnote w:id="73">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w:t>
      </w:r>
      <w:r w:rsidRPr="00F36D62">
        <w:rPr>
          <w:rFonts w:ascii="Garamond" w:hAnsi="Garamond"/>
          <w:lang w:val="it-IT"/>
        </w:rPr>
        <w:t xml:space="preserve">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xml:space="preserve">), II, p. 185. En esta línea, </w:t>
      </w:r>
      <w:r w:rsidRPr="00F36D62">
        <w:rPr>
          <w:rFonts w:ascii="Garamond" w:hAnsi="Garamond"/>
          <w:smallCaps/>
          <w:lang w:val="it-IT"/>
        </w:rPr>
        <w:t>Pessina</w:t>
      </w:r>
      <w:r w:rsidRPr="00F36D62">
        <w:rPr>
          <w:rFonts w:ascii="Garamond" w:hAnsi="Garamond"/>
          <w:lang w:val="it-IT"/>
        </w:rPr>
        <w:t xml:space="preserve">, </w:t>
      </w:r>
      <w:r w:rsidRPr="00F36D62">
        <w:rPr>
          <w:rFonts w:ascii="Garamond" w:hAnsi="Garamond"/>
          <w:i/>
          <w:lang w:val="it-IT"/>
        </w:rPr>
        <w:t>Dei progressi</w:t>
      </w:r>
      <w:r w:rsidRPr="00F36D62">
        <w:rPr>
          <w:rFonts w:ascii="Garamond" w:hAnsi="Garamond"/>
          <w:lang w:val="it-IT"/>
        </w:rPr>
        <w:t xml:space="preserve">, cit. (n. </w:t>
      </w:r>
      <w:r w:rsidRPr="00F36D62">
        <w:rPr>
          <w:rFonts w:ascii="Garamond" w:hAnsi="Garamond"/>
          <w:lang w:val="es-CL"/>
        </w:rPr>
        <w:fldChar w:fldCharType="begin"/>
      </w:r>
      <w:r w:rsidRPr="00F36D62">
        <w:rPr>
          <w:rFonts w:ascii="Garamond" w:hAnsi="Garamond"/>
          <w:lang w:val="it-IT"/>
        </w:rPr>
        <w:instrText xml:space="preserve"> NOTEREF _Ref530472190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53</w:t>
      </w:r>
      <w:r w:rsidRPr="00F36D62">
        <w:rPr>
          <w:rFonts w:ascii="Garamond" w:hAnsi="Garamond"/>
          <w:lang w:val="es-CL"/>
        </w:rPr>
        <w:fldChar w:fldCharType="end"/>
      </w:r>
      <w:r w:rsidRPr="00F36D62">
        <w:rPr>
          <w:rFonts w:ascii="Garamond" w:hAnsi="Garamond"/>
          <w:lang w:val="it-IT"/>
        </w:rPr>
        <w:t xml:space="preserve">), p. 10 citado </w:t>
      </w:r>
      <w:r w:rsidRPr="00F36D62">
        <w:rPr>
          <w:rFonts w:ascii="Garamond" w:hAnsi="Garamond"/>
          <w:i/>
          <w:lang w:val="it-IT"/>
        </w:rPr>
        <w:t>supra</w:t>
      </w:r>
      <w:r w:rsidRPr="00F36D62">
        <w:rPr>
          <w:rFonts w:ascii="Garamond" w:hAnsi="Garamond"/>
          <w:lang w:val="it-IT"/>
        </w:rPr>
        <w:t xml:space="preserve"> n. </w:t>
      </w:r>
      <w:r w:rsidRPr="00F36D62">
        <w:rPr>
          <w:rFonts w:ascii="Garamond" w:hAnsi="Garamond"/>
        </w:rPr>
        <w:fldChar w:fldCharType="begin"/>
      </w:r>
      <w:r w:rsidRPr="00F36D62">
        <w:rPr>
          <w:rFonts w:ascii="Garamond" w:hAnsi="Garamond"/>
          <w:lang w:val="it-IT"/>
        </w:rPr>
        <w:instrText xml:space="preserve"> NOTEREF _Ref7016577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56</w:t>
      </w:r>
      <w:r w:rsidRPr="00F36D62">
        <w:rPr>
          <w:rFonts w:ascii="Garamond" w:hAnsi="Garamond"/>
        </w:rPr>
        <w:fldChar w:fldCharType="end"/>
      </w:r>
      <w:r w:rsidRPr="00F36D62">
        <w:rPr>
          <w:rFonts w:ascii="Garamond" w:hAnsi="Garamond"/>
          <w:lang w:val="it-IT"/>
        </w:rPr>
        <w:t xml:space="preserve">. </w:t>
      </w:r>
    </w:p>
  </w:footnote>
  <w:footnote w:id="74">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II, p. 185: “</w:t>
      </w:r>
      <w:r w:rsidRPr="00F36D62">
        <w:rPr>
          <w:rFonts w:ascii="Garamond" w:hAnsi="Garamond"/>
          <w:i/>
          <w:lang w:val="it-IT"/>
        </w:rPr>
        <w:t>principio di ragiono e di equità</w:t>
      </w:r>
      <w:r w:rsidRPr="00F36D62">
        <w:rPr>
          <w:rFonts w:ascii="Garamond" w:hAnsi="Garamond"/>
          <w:lang w:val="it-IT"/>
        </w:rPr>
        <w:t xml:space="preserve">”. Similar, el antecedente jurisprudencial citado por </w:t>
      </w:r>
      <w:r w:rsidRPr="00F36D62">
        <w:rPr>
          <w:rFonts w:ascii="Garamond" w:hAnsi="Garamond"/>
          <w:smallCaps/>
          <w:lang w:val="it-IT"/>
        </w:rPr>
        <w:t>Saluto</w:t>
      </w:r>
      <w:r w:rsidRPr="00F36D62">
        <w:rPr>
          <w:rFonts w:ascii="Garamond" w:hAnsi="Garamond"/>
          <w:lang w:val="it-IT"/>
        </w:rPr>
        <w:t xml:space="preserve">, Francesco, </w:t>
      </w:r>
      <w:r w:rsidRPr="00F36D62">
        <w:rPr>
          <w:rFonts w:ascii="Garamond" w:hAnsi="Garamond"/>
          <w:i/>
          <w:lang w:val="it-IT"/>
        </w:rPr>
        <w:t>Diritto penale secondo l’ ordine del Codice per lo Regno delle Due Sigilie</w:t>
      </w:r>
      <w:r w:rsidRPr="00F36D62">
        <w:rPr>
          <w:rFonts w:ascii="Garamond" w:hAnsi="Garamond"/>
          <w:lang w:val="it-IT"/>
        </w:rPr>
        <w:t xml:space="preserve"> (Palermo, Tipografia di Pietro Morvillo, 1856), II, p. 415 destaca que la distinción entre circunstancias materiales y personales es correcta y equitativa.</w:t>
      </w:r>
    </w:p>
  </w:footnote>
  <w:footnote w:id="75">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Ver </w:t>
      </w:r>
      <w:r w:rsidRPr="00F36D62">
        <w:rPr>
          <w:rFonts w:ascii="Garamond" w:hAnsi="Garamond"/>
          <w:i/>
          <w:lang w:val="es-CL"/>
        </w:rPr>
        <w:t>supra</w:t>
      </w:r>
      <w:r w:rsidRPr="00F36D62">
        <w:rPr>
          <w:rFonts w:ascii="Garamond" w:hAnsi="Garamond"/>
          <w:lang w:val="es-CL"/>
        </w:rPr>
        <w:t xml:space="preserve"> n. </w:t>
      </w:r>
      <w:r w:rsidRPr="00F36D62">
        <w:rPr>
          <w:rFonts w:ascii="Garamond" w:hAnsi="Garamond"/>
          <w:lang w:val="es-CL"/>
        </w:rPr>
        <w:fldChar w:fldCharType="begin"/>
      </w:r>
      <w:r w:rsidRPr="00F36D62">
        <w:rPr>
          <w:rFonts w:ascii="Garamond" w:hAnsi="Garamond"/>
          <w:lang w:val="es-CL"/>
        </w:rPr>
        <w:instrText xml:space="preserve"> NOTEREF _Ref7016577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56</w:t>
      </w:r>
      <w:r w:rsidRPr="00F36D62">
        <w:rPr>
          <w:rFonts w:ascii="Garamond" w:hAnsi="Garamond"/>
          <w:lang w:val="es-CL"/>
        </w:rPr>
        <w:fldChar w:fldCharType="end"/>
      </w:r>
      <w:r w:rsidRPr="00F36D62">
        <w:rPr>
          <w:rFonts w:ascii="Garamond" w:hAnsi="Garamond"/>
          <w:lang w:val="es-CL"/>
        </w:rPr>
        <w:t xml:space="preserve">. Las “gloriosas” y “brillantes tradiciones de la ciencia y de la práctica italiana”, a las que hace referencia </w:t>
      </w:r>
      <w:r w:rsidRPr="00F36D62">
        <w:rPr>
          <w:rFonts w:ascii="Garamond" w:hAnsi="Garamond"/>
          <w:smallCaps/>
        </w:rPr>
        <w:t>Pessina</w:t>
      </w:r>
      <w:r w:rsidRPr="00F36D62">
        <w:rPr>
          <w:rFonts w:ascii="Garamond" w:hAnsi="Garamond"/>
        </w:rPr>
        <w:t xml:space="preserve">, </w:t>
      </w:r>
      <w:r w:rsidRPr="00F36D62">
        <w:rPr>
          <w:rFonts w:ascii="Garamond" w:hAnsi="Garamond"/>
          <w:i/>
        </w:rPr>
        <w:t>Elementos de Derecho Penal</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_Ref530472190 \h  \* MERGEFORMAT </w:instrText>
      </w:r>
      <w:r w:rsidRPr="00F36D62">
        <w:rPr>
          <w:rFonts w:ascii="Garamond" w:hAnsi="Garamond"/>
        </w:rPr>
      </w:r>
      <w:r w:rsidRPr="00F36D62">
        <w:rPr>
          <w:rFonts w:ascii="Garamond" w:hAnsi="Garamond"/>
        </w:rPr>
        <w:fldChar w:fldCharType="separate"/>
      </w:r>
      <w:r w:rsidRPr="00F36D62">
        <w:rPr>
          <w:rFonts w:ascii="Garamond" w:hAnsi="Garamond"/>
        </w:rPr>
        <w:t>53</w:t>
      </w:r>
      <w:r w:rsidRPr="00F36D62">
        <w:rPr>
          <w:rFonts w:ascii="Garamond" w:hAnsi="Garamond"/>
        </w:rPr>
        <w:fldChar w:fldCharType="end"/>
      </w:r>
      <w:r w:rsidRPr="00F36D62">
        <w:rPr>
          <w:rFonts w:ascii="Garamond" w:hAnsi="Garamond"/>
        </w:rPr>
        <w:t xml:space="preserve">), </w:t>
      </w:r>
      <w:r w:rsidRPr="00F36D62">
        <w:rPr>
          <w:rFonts w:ascii="Garamond" w:hAnsi="Garamond"/>
          <w:lang w:val="es-CL"/>
        </w:rPr>
        <w:t xml:space="preserve">pp. 135, 136, </w:t>
      </w:r>
      <w:r w:rsidRPr="00F36D62">
        <w:rPr>
          <w:rFonts w:ascii="Garamond" w:hAnsi="Garamond"/>
        </w:rPr>
        <w:t>sugieren que el problema ocupó a los juristas anteriores a la codificación, lo que podría explicar que las fuentes clásicas fueran recordadas.</w:t>
      </w:r>
    </w:p>
  </w:footnote>
  <w:footnote w:id="76">
    <w:p w:rsidR="00306473" w:rsidRPr="00F36D62" w:rsidRDefault="00306473" w:rsidP="00E229F1">
      <w:pPr>
        <w:pStyle w:val="Textonotapie"/>
        <w:rPr>
          <w:rFonts w:ascii="Garamond" w:hAnsi="Garamond"/>
          <w:lang w:val="en-US"/>
        </w:rPr>
      </w:pPr>
      <w:r w:rsidRPr="00F36D62">
        <w:rPr>
          <w:rStyle w:val="Refdenotaalpie"/>
          <w:rFonts w:ascii="Garamond" w:hAnsi="Garamond"/>
        </w:rPr>
        <w:footnoteRef/>
      </w:r>
      <w:r w:rsidRPr="00F36D62">
        <w:rPr>
          <w:rFonts w:ascii="Garamond" w:hAnsi="Garamond"/>
          <w:lang w:val="en-US"/>
        </w:rPr>
        <w:t xml:space="preserve"> </w:t>
      </w:r>
      <w:r w:rsidRPr="00F36D62">
        <w:rPr>
          <w:rFonts w:ascii="Garamond" w:hAnsi="Garamond"/>
          <w:smallCaps/>
          <w:lang w:val="en-US"/>
        </w:rPr>
        <w:t>Iñesta</w:t>
      </w:r>
      <w:r w:rsidRPr="00F36D62">
        <w:rPr>
          <w:rFonts w:ascii="Garamond" w:hAnsi="Garamond"/>
          <w:lang w:val="en-US"/>
        </w:rPr>
        <w:t xml:space="preserve">, </w:t>
      </w:r>
      <w:r w:rsidRPr="00F36D62">
        <w:rPr>
          <w:rFonts w:ascii="Garamond" w:hAnsi="Garamond"/>
          <w:i/>
          <w:lang w:val="en-US"/>
        </w:rPr>
        <w:t>The influence of the 1819 criminal code</w:t>
      </w:r>
      <w:r w:rsidRPr="00F36D62">
        <w:rPr>
          <w:rFonts w:ascii="Garamond" w:hAnsi="Garamond"/>
          <w:lang w:val="en-US"/>
        </w:rPr>
        <w:t xml:space="preserve">, cit. (n. </w:t>
      </w:r>
      <w:r w:rsidRPr="00F36D62">
        <w:rPr>
          <w:rFonts w:ascii="Garamond" w:hAnsi="Garamond"/>
          <w:lang w:val="en-US"/>
        </w:rPr>
        <w:fldChar w:fldCharType="begin"/>
      </w:r>
      <w:r w:rsidRPr="00F36D62">
        <w:rPr>
          <w:rFonts w:ascii="Garamond" w:hAnsi="Garamond"/>
          <w:lang w:val="en-US"/>
        </w:rPr>
        <w:instrText xml:space="preserve"> NOTEREF _Ref7371841 \h  \* MERGEFORMAT </w:instrText>
      </w:r>
      <w:r w:rsidRPr="00F36D62">
        <w:rPr>
          <w:rFonts w:ascii="Garamond" w:hAnsi="Garamond"/>
          <w:lang w:val="en-US"/>
        </w:rPr>
      </w:r>
      <w:r w:rsidRPr="00F36D62">
        <w:rPr>
          <w:rFonts w:ascii="Garamond" w:hAnsi="Garamond"/>
          <w:lang w:val="en-US"/>
        </w:rPr>
        <w:fldChar w:fldCharType="separate"/>
      </w:r>
      <w:r w:rsidRPr="00F36D62">
        <w:rPr>
          <w:rFonts w:ascii="Garamond" w:hAnsi="Garamond"/>
          <w:lang w:val="en-US"/>
        </w:rPr>
        <w:t>55</w:t>
      </w:r>
      <w:r w:rsidRPr="00F36D62">
        <w:rPr>
          <w:rFonts w:ascii="Garamond" w:hAnsi="Garamond"/>
          <w:lang w:val="en-US"/>
        </w:rPr>
        <w:fldChar w:fldCharType="end"/>
      </w:r>
      <w:r w:rsidRPr="00F36D62">
        <w:rPr>
          <w:rFonts w:ascii="Garamond" w:hAnsi="Garamond"/>
          <w:lang w:val="en-US"/>
        </w:rPr>
        <w:t>), p. 247: “</w:t>
      </w:r>
      <w:r w:rsidRPr="00F36D62">
        <w:rPr>
          <w:rFonts w:ascii="Garamond" w:hAnsi="Garamond"/>
          <w:i/>
          <w:lang w:val="en-US"/>
        </w:rPr>
        <w:t>They all [the Neapolitan illuminists] developed Roman and Italian legal science in an original fashion, paying special attention to the doctrine of willful misconduct, of guilt, of imputability, as well as of failed attempts and concurrent offences, which would be received in the 1819 text – hence its categorization as a ‘monument of Italian Science and Jurisprudence’ […] although the Neapolitan criminal Code did not constituted an absolute innovation, its national character and its originality are recognized, as well as the unquestionable improvement of its model: the 1810 French code.</w:t>
      </w:r>
      <w:r w:rsidRPr="00F36D62">
        <w:rPr>
          <w:rFonts w:ascii="Garamond" w:hAnsi="Garamond"/>
          <w:lang w:val="en-US"/>
        </w:rPr>
        <w:t>”</w:t>
      </w:r>
    </w:p>
  </w:footnote>
  <w:footnote w:id="77">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Cf. </w:t>
      </w:r>
      <w:r w:rsidRPr="00F36D62">
        <w:rPr>
          <w:rFonts w:ascii="Garamond" w:hAnsi="Garamond"/>
          <w:smallCaps/>
          <w:lang w:val="it-IT"/>
        </w:rPr>
        <w:t>Nicolini</w:t>
      </w:r>
      <w:r w:rsidRPr="00F36D62">
        <w:rPr>
          <w:rFonts w:ascii="Garamond" w:hAnsi="Garamond"/>
          <w:lang w:val="it-IT"/>
        </w:rPr>
        <w:t xml:space="preserve">, </w:t>
      </w:r>
      <w:r w:rsidRPr="00F36D62">
        <w:rPr>
          <w:rFonts w:ascii="Garamond" w:hAnsi="Garamond"/>
          <w:i/>
          <w:lang w:val="it-IT"/>
        </w:rPr>
        <w:t>Quistioni di diritto</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_Ref7372387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61</w:t>
      </w:r>
      <w:r w:rsidRPr="00F36D62">
        <w:rPr>
          <w:rFonts w:ascii="Garamond" w:hAnsi="Garamond"/>
        </w:rPr>
        <w:fldChar w:fldCharType="end"/>
      </w:r>
      <w:r w:rsidRPr="00F36D62">
        <w:rPr>
          <w:rFonts w:ascii="Garamond" w:hAnsi="Garamond"/>
          <w:lang w:val="it-IT"/>
        </w:rPr>
        <w:t xml:space="preserve">), </w:t>
      </w:r>
      <w:r w:rsidRPr="00F36D62">
        <w:rPr>
          <w:rFonts w:ascii="Garamond" w:hAnsi="Garamond"/>
          <w:i/>
          <w:lang w:val="it-IT"/>
        </w:rPr>
        <w:t>passim</w:t>
      </w:r>
      <w:r w:rsidRPr="00F36D62">
        <w:rPr>
          <w:rFonts w:ascii="Garamond" w:hAnsi="Garamond"/>
          <w:lang w:val="it-IT"/>
        </w:rPr>
        <w:t xml:space="preserve">. </w:t>
      </w:r>
    </w:p>
  </w:footnote>
  <w:footnote w:id="78">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Arabia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5</w:t>
      </w:r>
      <w:r w:rsidRPr="00F36D62">
        <w:rPr>
          <w:rFonts w:ascii="Garamond" w:hAnsi="Garamond"/>
        </w:rPr>
        <w:fldChar w:fldCharType="end"/>
      </w:r>
      <w:r w:rsidRPr="00F36D62">
        <w:rPr>
          <w:rFonts w:ascii="Garamond" w:hAnsi="Garamond"/>
          <w:lang w:val="it-IT"/>
        </w:rPr>
        <w:t>), II, p. 185: “</w:t>
      </w:r>
      <w:r w:rsidRPr="00F36D62">
        <w:rPr>
          <w:rFonts w:ascii="Garamond" w:hAnsi="Garamond"/>
          <w:i/>
          <w:lang w:val="it-IT"/>
        </w:rPr>
        <w:t>Era noto ed ammesso nelle leggi di Roma</w:t>
      </w:r>
      <w:r w:rsidRPr="00F36D62">
        <w:rPr>
          <w:rFonts w:ascii="Garamond" w:hAnsi="Garamond"/>
          <w:lang w:val="it-IT"/>
        </w:rPr>
        <w:t xml:space="preserve">”. </w:t>
      </w:r>
    </w:p>
  </w:footnote>
  <w:footnote w:id="79">
    <w:p w:rsidR="00306473" w:rsidRPr="00F36D62" w:rsidRDefault="00306473" w:rsidP="00E229F1">
      <w:pPr>
        <w:rPr>
          <w:rFonts w:ascii="Garamond" w:hAnsi="Garamond"/>
          <w:sz w:val="20"/>
          <w:szCs w:val="20"/>
        </w:rPr>
      </w:pPr>
      <w:r w:rsidRPr="00F36D62">
        <w:rPr>
          <w:rStyle w:val="Refdenotaalpie"/>
          <w:rFonts w:ascii="Garamond" w:hAnsi="Garamond"/>
          <w:sz w:val="20"/>
          <w:szCs w:val="20"/>
        </w:rPr>
        <w:footnoteRef/>
      </w:r>
      <w:r w:rsidRPr="00F36D62">
        <w:rPr>
          <w:rFonts w:ascii="Garamond" w:hAnsi="Garamond"/>
          <w:sz w:val="20"/>
          <w:szCs w:val="20"/>
        </w:rPr>
        <w:t xml:space="preserve"> Corresponden a D. 47, 2, 36 y D. 47, 2, 52. Una referencia a la segunda parece también encontrarse </w:t>
      </w:r>
      <w:r w:rsidRPr="00F36D62">
        <w:rPr>
          <w:rFonts w:ascii="Garamond" w:hAnsi="Garamond"/>
          <w:smallCaps/>
          <w:sz w:val="20"/>
          <w:szCs w:val="20"/>
        </w:rPr>
        <w:t>Saluto</w:t>
      </w:r>
      <w:r w:rsidRPr="00F36D62">
        <w:rPr>
          <w:rFonts w:ascii="Garamond" w:hAnsi="Garamond"/>
          <w:sz w:val="20"/>
          <w:szCs w:val="20"/>
        </w:rPr>
        <w:t xml:space="preserve">, cit. (n. </w:t>
      </w:r>
      <w:r w:rsidRPr="00F36D62">
        <w:rPr>
          <w:rFonts w:ascii="Garamond" w:hAnsi="Garamond"/>
          <w:sz w:val="20"/>
          <w:szCs w:val="20"/>
        </w:rPr>
        <w:fldChar w:fldCharType="begin"/>
      </w:r>
      <w:r w:rsidRPr="00F36D62">
        <w:rPr>
          <w:rFonts w:ascii="Garamond" w:hAnsi="Garamond"/>
          <w:sz w:val="20"/>
          <w:szCs w:val="20"/>
        </w:rPr>
        <w:instrText xml:space="preserve"> NOTEREF _Ref7015970 \h  \* MERGEFORMAT </w:instrText>
      </w:r>
      <w:r w:rsidRPr="00F36D62">
        <w:rPr>
          <w:rFonts w:ascii="Garamond" w:hAnsi="Garamond"/>
          <w:sz w:val="20"/>
          <w:szCs w:val="20"/>
        </w:rPr>
      </w:r>
      <w:r w:rsidRPr="00F36D62">
        <w:rPr>
          <w:rFonts w:ascii="Garamond" w:hAnsi="Garamond"/>
          <w:sz w:val="20"/>
          <w:szCs w:val="20"/>
        </w:rPr>
        <w:fldChar w:fldCharType="separate"/>
      </w:r>
      <w:r w:rsidRPr="00F36D62">
        <w:rPr>
          <w:rFonts w:ascii="Garamond" w:hAnsi="Garamond"/>
          <w:sz w:val="20"/>
          <w:szCs w:val="20"/>
        </w:rPr>
        <w:t>74</w:t>
      </w:r>
      <w:r w:rsidRPr="00F36D62">
        <w:rPr>
          <w:rFonts w:ascii="Garamond" w:hAnsi="Garamond"/>
          <w:sz w:val="20"/>
          <w:szCs w:val="20"/>
        </w:rPr>
        <w:fldChar w:fldCharType="end"/>
      </w:r>
      <w:r w:rsidRPr="00F36D62">
        <w:rPr>
          <w:rFonts w:ascii="Garamond" w:hAnsi="Garamond"/>
          <w:sz w:val="20"/>
          <w:szCs w:val="20"/>
        </w:rPr>
        <w:t xml:space="preserve">), II, p. 407. </w:t>
      </w:r>
    </w:p>
  </w:footnote>
  <w:footnote w:id="80">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Arabia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xml:space="preserve">), II, p. 185 hace la relación con el derecho romano únicamente a propósito del artículo 76, es decir, de las reglas relativas a la incomunicabilidad de las circunstancias personales, no así respecto de la comunicabilidad de las circunstancias materiales. Sin embargo, no nos parece del todo claro que esa mención se limitara a dicho artículo, ya que </w:t>
      </w:r>
      <w:r w:rsidRPr="00F36D62">
        <w:rPr>
          <w:rFonts w:ascii="Garamond" w:hAnsi="Garamond"/>
          <w:smallCaps/>
        </w:rPr>
        <w:t>Arabia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xml:space="preserve">), II, p. 187, al comentar el artículo 77, invoca nuevamente el silencio que reprocha en la legislación francesa justo antes de atribuir el origen romano al artículo 76. </w:t>
      </w:r>
    </w:p>
  </w:footnote>
  <w:footnote w:id="8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Presentar una regla como un principio de orden superior e invocar antecedentes de derecho romano como confirmación del razonamiento parece, desde un punto de vista metodológico, una característica de los juristas de la época. Respecto de “la primera </w:t>
      </w:r>
      <w:proofErr w:type="spellStart"/>
      <w:r w:rsidRPr="00F36D62">
        <w:rPr>
          <w:rFonts w:ascii="Garamond" w:hAnsi="Garamond"/>
        </w:rPr>
        <w:t>civilística</w:t>
      </w:r>
      <w:proofErr w:type="spellEnd"/>
      <w:r w:rsidRPr="00F36D62">
        <w:rPr>
          <w:rFonts w:ascii="Garamond" w:hAnsi="Garamond"/>
        </w:rPr>
        <w:t xml:space="preserve"> italiana de la codificación”, </w:t>
      </w:r>
      <w:r w:rsidRPr="00F36D62">
        <w:rPr>
          <w:rFonts w:ascii="Garamond" w:hAnsi="Garamond"/>
          <w:smallCaps/>
        </w:rPr>
        <w:t>Ferrante</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_Ref530472190 \h  \* MERGEFORMAT </w:instrText>
      </w:r>
      <w:r w:rsidRPr="00F36D62">
        <w:rPr>
          <w:rFonts w:ascii="Garamond" w:hAnsi="Garamond"/>
        </w:rPr>
      </w:r>
      <w:r w:rsidRPr="00F36D62">
        <w:rPr>
          <w:rFonts w:ascii="Garamond" w:hAnsi="Garamond"/>
        </w:rPr>
        <w:fldChar w:fldCharType="separate"/>
      </w:r>
      <w:r w:rsidRPr="00F36D62">
        <w:rPr>
          <w:rFonts w:ascii="Garamond" w:hAnsi="Garamond"/>
        </w:rPr>
        <w:t>53</w:t>
      </w:r>
      <w:r w:rsidRPr="00F36D62">
        <w:rPr>
          <w:rFonts w:ascii="Garamond" w:hAnsi="Garamond"/>
        </w:rPr>
        <w:fldChar w:fldCharType="end"/>
      </w:r>
      <w:r w:rsidRPr="00F36D62">
        <w:rPr>
          <w:rFonts w:ascii="Garamond" w:hAnsi="Garamond"/>
        </w:rPr>
        <w:t xml:space="preserve">), p. 40 enfatiza que “el ligamen con la raíz romanista” era “entendida más como un factor legitimador del razonamiento jurídico y no como una fuente efectiva.” Aunque en otro contexto, de un proceder similar da cuenta </w:t>
      </w:r>
      <w:r w:rsidRPr="00F36D62">
        <w:rPr>
          <w:rFonts w:ascii="Garamond" w:hAnsi="Garamond"/>
          <w:smallCaps/>
        </w:rPr>
        <w:t>Rubio Varas</w:t>
      </w:r>
      <w:r w:rsidRPr="00F36D62">
        <w:rPr>
          <w:rFonts w:ascii="Garamond" w:hAnsi="Garamond"/>
        </w:rPr>
        <w:t xml:space="preserve">, Francisco Javier, </w:t>
      </w:r>
      <w:r w:rsidRPr="00F36D62">
        <w:rPr>
          <w:rFonts w:ascii="Garamond" w:hAnsi="Garamond"/>
          <w:i/>
        </w:rPr>
        <w:t>Notas histórico-dogmáticas de la interpretación de los contratos en el Código Civil chileno</w:t>
      </w:r>
      <w:r w:rsidRPr="00F36D62">
        <w:rPr>
          <w:rFonts w:ascii="Garamond" w:hAnsi="Garamond"/>
        </w:rPr>
        <w:t xml:space="preserve">, en </w:t>
      </w:r>
      <w:r w:rsidRPr="00F36D62">
        <w:rPr>
          <w:rFonts w:ascii="Garamond" w:hAnsi="Garamond"/>
          <w:i/>
        </w:rPr>
        <w:t>Revista Chilena de Derecho</w:t>
      </w:r>
      <w:r w:rsidRPr="00F36D62">
        <w:rPr>
          <w:rFonts w:ascii="Garamond" w:hAnsi="Garamond"/>
        </w:rPr>
        <w:t xml:space="preserve">, 45 (2018), 2, p. 561 en que las “máximas de interpretación” creadas “a través del redescubrimiento y colección de textos aislados romanos”, eran consideradas “en las palabras de </w:t>
      </w:r>
      <w:r w:rsidRPr="00F36D62">
        <w:rPr>
          <w:rFonts w:ascii="Garamond" w:hAnsi="Garamond"/>
          <w:smallCaps/>
        </w:rPr>
        <w:t>Vattel</w:t>
      </w:r>
      <w:r w:rsidRPr="00F36D62">
        <w:rPr>
          <w:rFonts w:ascii="Garamond" w:hAnsi="Garamond"/>
        </w:rPr>
        <w:t>, como ‘máximas de justicia y equidad’.”</w:t>
      </w:r>
    </w:p>
  </w:footnote>
  <w:footnote w:id="82">
    <w:p w:rsidR="00306473" w:rsidRPr="00F36D62" w:rsidRDefault="00306473" w:rsidP="00E229F1">
      <w:pPr>
        <w:pStyle w:val="Textonotapie"/>
        <w:rPr>
          <w:rFonts w:ascii="Garamond" w:hAnsi="Garamond"/>
          <w:i/>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Pessina</w:t>
      </w:r>
      <w:r w:rsidRPr="00F36D62">
        <w:rPr>
          <w:rFonts w:ascii="Garamond" w:hAnsi="Garamond"/>
          <w:lang w:val="it-IT"/>
        </w:rPr>
        <w:t xml:space="preserve">, </w:t>
      </w:r>
      <w:r w:rsidRPr="00F36D62">
        <w:rPr>
          <w:rFonts w:ascii="Garamond" w:hAnsi="Garamond"/>
          <w:i/>
          <w:lang w:val="it-IT"/>
        </w:rPr>
        <w:t>Propedeutica</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_Ref7372387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61</w:t>
      </w:r>
      <w:r w:rsidRPr="00F36D62">
        <w:rPr>
          <w:rFonts w:ascii="Garamond" w:hAnsi="Garamond"/>
        </w:rPr>
        <w:fldChar w:fldCharType="end"/>
      </w:r>
      <w:r w:rsidRPr="00F36D62">
        <w:rPr>
          <w:rFonts w:ascii="Garamond" w:hAnsi="Garamond"/>
          <w:lang w:val="it-IT"/>
        </w:rPr>
        <w:t xml:space="preserve">), p. 137. </w:t>
      </w:r>
      <w:r w:rsidRPr="00F36D62">
        <w:rPr>
          <w:rFonts w:ascii="Garamond" w:hAnsi="Garamond"/>
        </w:rPr>
        <w:t xml:space="preserve">Este autor cita “L. 4 § 1 D. de </w:t>
      </w:r>
      <w:proofErr w:type="spellStart"/>
      <w:r w:rsidRPr="00F36D62">
        <w:rPr>
          <w:rFonts w:ascii="Garamond" w:hAnsi="Garamond"/>
        </w:rPr>
        <w:t>incend</w:t>
      </w:r>
      <w:proofErr w:type="spellEnd"/>
      <w:r w:rsidRPr="00F36D62">
        <w:rPr>
          <w:rFonts w:ascii="Garamond" w:hAnsi="Garamond"/>
        </w:rPr>
        <w:t>.”, que corresponde a D</w:t>
      </w:r>
      <w:r w:rsidRPr="00F36D62">
        <w:rPr>
          <w:rFonts w:ascii="Garamond" w:hAnsi="Garamond"/>
          <w:i/>
        </w:rPr>
        <w:t>.</w:t>
      </w:r>
      <w:r w:rsidRPr="00F36D62">
        <w:rPr>
          <w:rFonts w:ascii="Garamond" w:hAnsi="Garamond"/>
        </w:rPr>
        <w:t xml:space="preserve"> 47, 9, 4, cuyo texto se reproduce a continuación y es tomando (como todas las demás en este trabajo) del Cuerpo del Derecho Civil Romano a doble texto, traducido al castellano del latino, publicado por los hermanos Krigel, Hermann y </w:t>
      </w:r>
      <w:proofErr w:type="spellStart"/>
      <w:r w:rsidRPr="00F36D62">
        <w:rPr>
          <w:rFonts w:ascii="Garamond" w:hAnsi="Garamond"/>
        </w:rPr>
        <w:t>Osenbrüggen</w:t>
      </w:r>
      <w:proofErr w:type="spellEnd"/>
      <w:r w:rsidRPr="00F36D62">
        <w:rPr>
          <w:rFonts w:ascii="Garamond" w:hAnsi="Garamond"/>
        </w:rPr>
        <w:t xml:space="preserve"> con las variantes de las principales ediciones antiguas y modernas y con notas de referencia de D. Ildefonso L. García del Corral, Tomo III, Barcelona, 1897: “</w:t>
      </w:r>
      <w:r w:rsidRPr="00F36D62">
        <w:rPr>
          <w:rFonts w:ascii="Garamond" w:hAnsi="Garamond"/>
          <w:i/>
        </w:rPr>
        <w:t>4. Paulo; Comentarios al Edicto, libro LIV</w:t>
      </w:r>
      <w:proofErr w:type="gramStart"/>
      <w:r w:rsidRPr="00F36D62">
        <w:rPr>
          <w:rFonts w:ascii="Garamond" w:hAnsi="Garamond"/>
          <w:i/>
        </w:rPr>
        <w:t>.–</w:t>
      </w:r>
      <w:proofErr w:type="gramEnd"/>
      <w:r w:rsidRPr="00F36D62">
        <w:rPr>
          <w:rFonts w:ascii="Garamond" w:hAnsi="Garamond"/>
          <w:i/>
        </w:rPr>
        <w:t xml:space="preserve"> Escribe Pedio: también se puede decir que roba con ocasión de naufragio el que mientras se produce el naufragio roba en medio de aquel azoramiento.</w:t>
      </w:r>
    </w:p>
    <w:p w:rsidR="00306473" w:rsidRPr="00F36D62" w:rsidRDefault="00306473" w:rsidP="00E229F1">
      <w:pPr>
        <w:pStyle w:val="Textonotapie"/>
        <w:rPr>
          <w:rFonts w:ascii="Garamond" w:hAnsi="Garamond"/>
          <w:i/>
        </w:rPr>
      </w:pPr>
      <w:r w:rsidRPr="00F36D62">
        <w:rPr>
          <w:rFonts w:ascii="Garamond" w:hAnsi="Garamond"/>
          <w:i/>
        </w:rPr>
        <w:t>§ 1</w:t>
      </w:r>
      <w:proofErr w:type="gramStart"/>
      <w:r w:rsidRPr="00F36D62">
        <w:rPr>
          <w:rFonts w:ascii="Garamond" w:hAnsi="Garamond"/>
          <w:i/>
        </w:rPr>
        <w:t>.–</w:t>
      </w:r>
      <w:proofErr w:type="gramEnd"/>
      <w:r w:rsidRPr="00F36D62">
        <w:rPr>
          <w:rFonts w:ascii="Garamond" w:hAnsi="Garamond"/>
          <w:i/>
        </w:rPr>
        <w:t xml:space="preserve"> El Divino Antonino resolvió así por rescripto respecto de los que hubiesen hecho depredación con ocasión de un naufragio: ‘Lo que me escribiste sobre naufragios de naves y de barca, tiene por objeto explorar tú con qué pena estimo yo que deben ser castigados los que se prueba que robaron alguna cosa en ellos; y, según opino, se puede determinar fácilmente. Porque hay muchísima diferencia entre que hayan recogido cosas que iban </w:t>
      </w:r>
      <w:proofErr w:type="spellStart"/>
      <w:r w:rsidRPr="00F36D62">
        <w:rPr>
          <w:rFonts w:ascii="Garamond" w:hAnsi="Garamond"/>
          <w:i/>
        </w:rPr>
        <w:t>á</w:t>
      </w:r>
      <w:proofErr w:type="spellEnd"/>
      <w:r w:rsidRPr="00F36D62">
        <w:rPr>
          <w:rFonts w:ascii="Garamond" w:hAnsi="Garamond"/>
          <w:i/>
        </w:rPr>
        <w:t xml:space="preserve"> perecer, </w:t>
      </w:r>
      <w:proofErr w:type="spellStart"/>
      <w:r w:rsidRPr="00F36D62">
        <w:rPr>
          <w:rFonts w:ascii="Garamond" w:hAnsi="Garamond"/>
          <w:i/>
        </w:rPr>
        <w:t>ó</w:t>
      </w:r>
      <w:proofErr w:type="spellEnd"/>
      <w:r w:rsidRPr="00F36D62">
        <w:rPr>
          <w:rFonts w:ascii="Garamond" w:hAnsi="Garamond"/>
          <w:i/>
        </w:rPr>
        <w:t xml:space="preserve"> que maliciosamente se hayan apoderado de las que se podían salvar; y esto, si se viere que </w:t>
      </w:r>
      <w:proofErr w:type="spellStart"/>
      <w:r w:rsidRPr="00F36D62">
        <w:rPr>
          <w:rFonts w:ascii="Garamond" w:hAnsi="Garamond"/>
          <w:i/>
        </w:rPr>
        <w:t>á</w:t>
      </w:r>
      <w:proofErr w:type="spellEnd"/>
      <w:r w:rsidRPr="00F36D62">
        <w:rPr>
          <w:rFonts w:ascii="Garamond" w:hAnsi="Garamond"/>
          <w:i/>
        </w:rPr>
        <w:t xml:space="preserve"> la fuerza se hizo una gran depredación, relegarás por un trienio á los libres después de haberlos apaleado, </w:t>
      </w:r>
      <w:proofErr w:type="spellStart"/>
      <w:r w:rsidRPr="00F36D62">
        <w:rPr>
          <w:rFonts w:ascii="Garamond" w:hAnsi="Garamond"/>
          <w:i/>
        </w:rPr>
        <w:t>ó</w:t>
      </w:r>
      <w:proofErr w:type="spellEnd"/>
      <w:r w:rsidRPr="00F36D62">
        <w:rPr>
          <w:rFonts w:ascii="Garamond" w:hAnsi="Garamond"/>
          <w:i/>
        </w:rPr>
        <w:t xml:space="preserve"> si fueren de más baja condición, los condenarás por el mismo tiempo </w:t>
      </w:r>
      <w:proofErr w:type="spellStart"/>
      <w:r w:rsidRPr="00F36D62">
        <w:rPr>
          <w:rFonts w:ascii="Garamond" w:hAnsi="Garamond"/>
          <w:i/>
        </w:rPr>
        <w:t>á</w:t>
      </w:r>
      <w:proofErr w:type="spellEnd"/>
      <w:r w:rsidRPr="00F36D62">
        <w:rPr>
          <w:rFonts w:ascii="Garamond" w:hAnsi="Garamond"/>
          <w:i/>
        </w:rPr>
        <w:t xml:space="preserve"> las obras públicas, y </w:t>
      </w:r>
      <w:proofErr w:type="spellStart"/>
      <w:r w:rsidRPr="00F36D62">
        <w:rPr>
          <w:rFonts w:ascii="Garamond" w:hAnsi="Garamond"/>
          <w:i/>
        </w:rPr>
        <w:t>á</w:t>
      </w:r>
      <w:proofErr w:type="spellEnd"/>
      <w:r w:rsidRPr="00F36D62">
        <w:rPr>
          <w:rFonts w:ascii="Garamond" w:hAnsi="Garamond"/>
          <w:i/>
        </w:rPr>
        <w:t xml:space="preserve"> los esclavos los condenarás á las minas después de azotados; si las cosas no hubieren sido de gran valor, podrás dejarlos en libertad, a los libres después de apaleados, y </w:t>
      </w:r>
      <w:proofErr w:type="spellStart"/>
      <w:r w:rsidRPr="00F36D62">
        <w:rPr>
          <w:rFonts w:ascii="Garamond" w:hAnsi="Garamond"/>
          <w:i/>
        </w:rPr>
        <w:t>á</w:t>
      </w:r>
      <w:proofErr w:type="spellEnd"/>
      <w:r w:rsidRPr="00F36D62">
        <w:rPr>
          <w:rFonts w:ascii="Garamond" w:hAnsi="Garamond"/>
          <w:i/>
        </w:rPr>
        <w:t xml:space="preserve"> los esclavos después de azotados’. Y siempre en estas causas, como en las demás, se ha de hacer diligentemente su estimación, atendidas la condición de las personas y la calidad de las cosas, </w:t>
      </w:r>
      <w:proofErr w:type="spellStart"/>
      <w:r w:rsidRPr="00F36D62">
        <w:rPr>
          <w:rFonts w:ascii="Garamond" w:hAnsi="Garamond"/>
          <w:i/>
        </w:rPr>
        <w:t>á</w:t>
      </w:r>
      <w:proofErr w:type="spellEnd"/>
      <w:r w:rsidRPr="00F36D62">
        <w:rPr>
          <w:rFonts w:ascii="Garamond" w:hAnsi="Garamond"/>
          <w:i/>
        </w:rPr>
        <w:t xml:space="preserve"> fin de que no se determine cosa alguna ó más dura ó más blandamente de lo que requiere la causa.</w:t>
      </w:r>
    </w:p>
    <w:p w:rsidR="00306473" w:rsidRPr="00F36D62" w:rsidRDefault="00306473" w:rsidP="00E229F1">
      <w:pPr>
        <w:pStyle w:val="Textonotapie"/>
        <w:rPr>
          <w:rFonts w:ascii="Garamond" w:hAnsi="Garamond"/>
          <w:lang w:val="es-CL"/>
        </w:rPr>
      </w:pPr>
      <w:r w:rsidRPr="00F36D62">
        <w:rPr>
          <w:rFonts w:ascii="Garamond" w:hAnsi="Garamond"/>
          <w:i/>
        </w:rPr>
        <w:t>§ 2</w:t>
      </w:r>
      <w:proofErr w:type="gramStart"/>
      <w:r w:rsidRPr="00F36D62">
        <w:rPr>
          <w:rFonts w:ascii="Garamond" w:hAnsi="Garamond"/>
          <w:i/>
        </w:rPr>
        <w:t>.–</w:t>
      </w:r>
      <w:proofErr w:type="gramEnd"/>
      <w:r w:rsidRPr="00F36D62">
        <w:rPr>
          <w:rFonts w:ascii="Garamond" w:hAnsi="Garamond"/>
          <w:i/>
        </w:rPr>
        <w:t xml:space="preserve"> Estas acciones se dan </w:t>
      </w:r>
      <w:proofErr w:type="spellStart"/>
      <w:r w:rsidRPr="00F36D62">
        <w:rPr>
          <w:rFonts w:ascii="Garamond" w:hAnsi="Garamond"/>
          <w:i/>
        </w:rPr>
        <w:t>á</w:t>
      </w:r>
      <w:proofErr w:type="spellEnd"/>
      <w:r w:rsidRPr="00F36D62">
        <w:rPr>
          <w:rFonts w:ascii="Garamond" w:hAnsi="Garamond"/>
          <w:i/>
        </w:rPr>
        <w:t xml:space="preserve"> los herederos; y contra los herederos han de ser dadas sólo por cuando fue á poder de ellos.</w:t>
      </w:r>
      <w:r w:rsidRPr="00F36D62">
        <w:rPr>
          <w:rFonts w:ascii="Garamond" w:hAnsi="Garamond"/>
        </w:rPr>
        <w:t xml:space="preserve">” </w:t>
      </w:r>
      <w:r w:rsidRPr="00F36D62">
        <w:rPr>
          <w:rFonts w:ascii="Garamond" w:hAnsi="Garamond"/>
          <w:lang w:val="es-CL"/>
        </w:rPr>
        <w:t xml:space="preserve"> </w:t>
      </w:r>
    </w:p>
  </w:footnote>
  <w:footnote w:id="83">
    <w:p w:rsidR="00306473" w:rsidRPr="00F36D62" w:rsidRDefault="00306473" w:rsidP="00E229F1">
      <w:pPr>
        <w:pStyle w:val="Textonotapie"/>
        <w:rPr>
          <w:rFonts w:ascii="Garamond" w:hAnsi="Garamond"/>
          <w:i/>
        </w:rPr>
      </w:pPr>
      <w:r w:rsidRPr="00F36D62">
        <w:rPr>
          <w:rStyle w:val="Refdenotaalpie"/>
          <w:rFonts w:ascii="Garamond" w:hAnsi="Garamond"/>
        </w:rPr>
        <w:footnoteRef/>
      </w:r>
      <w:r w:rsidRPr="00F36D62">
        <w:rPr>
          <w:rFonts w:ascii="Garamond" w:hAnsi="Garamond"/>
        </w:rPr>
        <w:t xml:space="preserve"> Relacionado con este problema, se encuentra la distinción entre </w:t>
      </w:r>
      <w:r w:rsidRPr="00F36D62">
        <w:rPr>
          <w:rFonts w:ascii="Garamond" w:hAnsi="Garamond"/>
          <w:i/>
        </w:rPr>
        <w:t xml:space="preserve">delicta </w:t>
      </w:r>
      <w:proofErr w:type="spellStart"/>
      <w:r w:rsidRPr="00F36D62">
        <w:rPr>
          <w:rFonts w:ascii="Garamond" w:hAnsi="Garamond"/>
          <w:i/>
        </w:rPr>
        <w:t>propria</w:t>
      </w:r>
      <w:proofErr w:type="spellEnd"/>
      <w:r w:rsidRPr="00F36D62">
        <w:rPr>
          <w:rFonts w:ascii="Garamond" w:hAnsi="Garamond"/>
        </w:rPr>
        <w:t xml:space="preserve"> y </w:t>
      </w:r>
      <w:r w:rsidRPr="00F36D62">
        <w:rPr>
          <w:rFonts w:ascii="Garamond" w:hAnsi="Garamond"/>
          <w:i/>
        </w:rPr>
        <w:t>delicta communia</w:t>
      </w:r>
      <w:r w:rsidRPr="00F36D62">
        <w:rPr>
          <w:rFonts w:ascii="Garamond" w:hAnsi="Garamond"/>
        </w:rPr>
        <w:t xml:space="preserve"> que se recoge en la obra </w:t>
      </w:r>
      <w:r w:rsidRPr="00F36D62">
        <w:rPr>
          <w:rFonts w:ascii="Garamond" w:hAnsi="Garamond"/>
          <w:i/>
        </w:rPr>
        <w:t>De re militari</w:t>
      </w:r>
      <w:r w:rsidRPr="00F36D62">
        <w:rPr>
          <w:rFonts w:ascii="Garamond" w:hAnsi="Garamond"/>
        </w:rPr>
        <w:t xml:space="preserve"> del jurista </w:t>
      </w:r>
      <w:proofErr w:type="spellStart"/>
      <w:r w:rsidRPr="00F36D62">
        <w:rPr>
          <w:rFonts w:ascii="Garamond" w:hAnsi="Garamond"/>
        </w:rPr>
        <w:t>Arrio</w:t>
      </w:r>
      <w:proofErr w:type="spellEnd"/>
      <w:r w:rsidRPr="00F36D62">
        <w:rPr>
          <w:rFonts w:ascii="Garamond" w:hAnsi="Garamond"/>
        </w:rPr>
        <w:t xml:space="preserve"> </w:t>
      </w:r>
      <w:proofErr w:type="spellStart"/>
      <w:r w:rsidRPr="00F36D62">
        <w:rPr>
          <w:rFonts w:ascii="Garamond" w:hAnsi="Garamond"/>
        </w:rPr>
        <w:t>Menandro</w:t>
      </w:r>
      <w:proofErr w:type="spellEnd"/>
      <w:r w:rsidRPr="00F36D62">
        <w:rPr>
          <w:rFonts w:ascii="Garamond" w:hAnsi="Garamond"/>
        </w:rPr>
        <w:t xml:space="preserve"> (</w:t>
      </w:r>
      <w:proofErr w:type="spellStart"/>
      <w:r w:rsidRPr="00F36D62">
        <w:rPr>
          <w:rFonts w:ascii="Garamond" w:hAnsi="Garamond"/>
        </w:rPr>
        <w:t>Arrius</w:t>
      </w:r>
      <w:proofErr w:type="spellEnd"/>
      <w:r w:rsidRPr="00F36D62">
        <w:rPr>
          <w:rFonts w:ascii="Garamond" w:hAnsi="Garamond"/>
        </w:rPr>
        <w:t xml:space="preserve"> </w:t>
      </w:r>
      <w:proofErr w:type="spellStart"/>
      <w:r w:rsidRPr="00F36D62">
        <w:rPr>
          <w:rFonts w:ascii="Garamond" w:hAnsi="Garamond"/>
        </w:rPr>
        <w:t>Manander</w:t>
      </w:r>
      <w:proofErr w:type="spellEnd"/>
      <w:r w:rsidRPr="00F36D62">
        <w:rPr>
          <w:rFonts w:ascii="Garamond" w:hAnsi="Garamond"/>
        </w:rPr>
        <w:t xml:space="preserve">); cf. </w:t>
      </w:r>
      <w:r w:rsidRPr="00F36D62">
        <w:rPr>
          <w:rFonts w:ascii="Garamond" w:hAnsi="Garamond"/>
          <w:smallCaps/>
        </w:rPr>
        <w:t>Gómez Martín</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_Ref7016577 \h  \* MERGEFORMAT </w:instrText>
      </w:r>
      <w:r w:rsidRPr="00F36D62">
        <w:rPr>
          <w:rFonts w:ascii="Garamond" w:hAnsi="Garamond"/>
        </w:rPr>
      </w:r>
      <w:r w:rsidRPr="00F36D62">
        <w:rPr>
          <w:rFonts w:ascii="Garamond" w:hAnsi="Garamond"/>
        </w:rPr>
        <w:fldChar w:fldCharType="separate"/>
      </w:r>
      <w:r w:rsidRPr="00F36D62">
        <w:rPr>
          <w:rFonts w:ascii="Garamond" w:hAnsi="Garamond"/>
        </w:rPr>
        <w:t>56</w:t>
      </w:r>
      <w:r w:rsidRPr="00F36D62">
        <w:rPr>
          <w:rFonts w:ascii="Garamond" w:hAnsi="Garamond"/>
        </w:rPr>
        <w:fldChar w:fldCharType="end"/>
      </w:r>
      <w:r w:rsidRPr="00F36D62">
        <w:rPr>
          <w:rFonts w:ascii="Garamond" w:hAnsi="Garamond"/>
        </w:rPr>
        <w:t>), pp. 4-5. La distinción se recoge en D. 49, 16, 2: “</w:t>
      </w:r>
      <w:proofErr w:type="spellStart"/>
      <w:r w:rsidRPr="00F36D62">
        <w:rPr>
          <w:rFonts w:ascii="Garamond" w:hAnsi="Garamond"/>
          <w:i/>
          <w:smallCaps/>
        </w:rPr>
        <w:t>Arrio</w:t>
      </w:r>
      <w:proofErr w:type="spellEnd"/>
      <w:r w:rsidRPr="00F36D62">
        <w:rPr>
          <w:rFonts w:ascii="Garamond" w:hAnsi="Garamond"/>
          <w:i/>
          <w:smallCaps/>
        </w:rPr>
        <w:t xml:space="preserve"> </w:t>
      </w:r>
      <w:proofErr w:type="spellStart"/>
      <w:r w:rsidRPr="00F36D62">
        <w:rPr>
          <w:rFonts w:ascii="Garamond" w:hAnsi="Garamond"/>
          <w:i/>
          <w:smallCaps/>
        </w:rPr>
        <w:t>Menandro</w:t>
      </w:r>
      <w:proofErr w:type="spellEnd"/>
      <w:r w:rsidRPr="00F36D62">
        <w:rPr>
          <w:rFonts w:ascii="Garamond" w:hAnsi="Garamond"/>
          <w:i/>
        </w:rPr>
        <w:t xml:space="preserve">; De las Cosas militares, libro I. – Los delitos </w:t>
      </w:r>
      <w:proofErr w:type="spellStart"/>
      <w:r w:rsidRPr="00F36D62">
        <w:rPr>
          <w:rFonts w:ascii="Garamond" w:hAnsi="Garamond"/>
          <w:i/>
        </w:rPr>
        <w:t>ó</w:t>
      </w:r>
      <w:proofErr w:type="spellEnd"/>
      <w:r w:rsidRPr="00F36D62">
        <w:rPr>
          <w:rFonts w:ascii="Garamond" w:hAnsi="Garamond"/>
          <w:i/>
        </w:rPr>
        <w:t xml:space="preserve"> los hechos de los militares son </w:t>
      </w:r>
      <w:proofErr w:type="spellStart"/>
      <w:r w:rsidRPr="00F36D62">
        <w:rPr>
          <w:rFonts w:ascii="Garamond" w:hAnsi="Garamond"/>
          <w:i/>
        </w:rPr>
        <w:t>ó</w:t>
      </w:r>
      <w:proofErr w:type="spellEnd"/>
      <w:r w:rsidRPr="00F36D62">
        <w:rPr>
          <w:rFonts w:ascii="Garamond" w:hAnsi="Garamond"/>
          <w:i/>
        </w:rPr>
        <w:t xml:space="preserve"> propios de ellos, </w:t>
      </w:r>
      <w:proofErr w:type="spellStart"/>
      <w:r w:rsidRPr="00F36D62">
        <w:rPr>
          <w:rFonts w:ascii="Garamond" w:hAnsi="Garamond"/>
          <w:i/>
        </w:rPr>
        <w:t>ó</w:t>
      </w:r>
      <w:proofErr w:type="spellEnd"/>
      <w:r w:rsidRPr="00F36D62">
        <w:rPr>
          <w:rFonts w:ascii="Garamond" w:hAnsi="Garamond"/>
          <w:i/>
        </w:rPr>
        <w:t xml:space="preserve"> comunes con los demás, por lo cual, también su persecución es </w:t>
      </w:r>
      <w:proofErr w:type="spellStart"/>
      <w:r w:rsidRPr="00F36D62">
        <w:rPr>
          <w:rFonts w:ascii="Garamond" w:hAnsi="Garamond"/>
          <w:i/>
        </w:rPr>
        <w:t>ó</w:t>
      </w:r>
      <w:proofErr w:type="spellEnd"/>
      <w:r w:rsidRPr="00F36D62">
        <w:rPr>
          <w:rFonts w:ascii="Garamond" w:hAnsi="Garamond"/>
          <w:i/>
        </w:rPr>
        <w:t xml:space="preserve"> propia, </w:t>
      </w:r>
      <w:proofErr w:type="spellStart"/>
      <w:r w:rsidRPr="00F36D62">
        <w:rPr>
          <w:rFonts w:ascii="Garamond" w:hAnsi="Garamond"/>
          <w:i/>
        </w:rPr>
        <w:t>ó</w:t>
      </w:r>
      <w:proofErr w:type="spellEnd"/>
      <w:r w:rsidRPr="00F36D62">
        <w:rPr>
          <w:rFonts w:ascii="Garamond" w:hAnsi="Garamond"/>
          <w:i/>
        </w:rPr>
        <w:t xml:space="preserve"> común. Es delito propio militar el que alguno comete como soldado.</w:t>
      </w:r>
      <w:r w:rsidRPr="00F36D62">
        <w:rPr>
          <w:rFonts w:ascii="Garamond" w:hAnsi="Garamond"/>
        </w:rPr>
        <w:t>”</w:t>
      </w:r>
    </w:p>
  </w:footnote>
  <w:footnote w:id="84">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i/>
        </w:rPr>
        <w:t>Vid.</w:t>
      </w:r>
      <w:r w:rsidRPr="00F36D62">
        <w:rPr>
          <w:rFonts w:ascii="Garamond" w:hAnsi="Garamond"/>
        </w:rPr>
        <w:t xml:space="preserve"> referencias </w:t>
      </w:r>
      <w:r w:rsidRPr="00F36D62">
        <w:rPr>
          <w:rFonts w:ascii="Garamond" w:hAnsi="Garamond"/>
          <w:i/>
        </w:rPr>
        <w:t>supra</w:t>
      </w:r>
      <w:r w:rsidRPr="00F36D62">
        <w:rPr>
          <w:rFonts w:ascii="Garamond" w:hAnsi="Garamond"/>
        </w:rPr>
        <w:t xml:space="preserve"> nn. </w:t>
      </w:r>
      <w:r w:rsidRPr="00F36D62">
        <w:rPr>
          <w:rFonts w:ascii="Garamond" w:hAnsi="Garamond"/>
        </w:rPr>
        <w:fldChar w:fldCharType="begin"/>
      </w:r>
      <w:r w:rsidRPr="00F36D62">
        <w:rPr>
          <w:rFonts w:ascii="Garamond" w:hAnsi="Garamond"/>
        </w:rPr>
        <w:instrText xml:space="preserve"> NOTEREF _Ref523501459 \h  \* MERGEFORMAT </w:instrText>
      </w:r>
      <w:r w:rsidRPr="00F36D62">
        <w:rPr>
          <w:rFonts w:ascii="Garamond" w:hAnsi="Garamond"/>
        </w:rPr>
      </w:r>
      <w:r w:rsidRPr="00F36D62">
        <w:rPr>
          <w:rFonts w:ascii="Garamond" w:hAnsi="Garamond"/>
        </w:rPr>
        <w:fldChar w:fldCharType="separate"/>
      </w:r>
      <w:r w:rsidRPr="00F36D62">
        <w:rPr>
          <w:rFonts w:ascii="Garamond" w:hAnsi="Garamond"/>
        </w:rPr>
        <w:t>21</w:t>
      </w:r>
      <w:r w:rsidRPr="00F36D62">
        <w:rPr>
          <w:rFonts w:ascii="Garamond" w:hAnsi="Garamond"/>
        </w:rPr>
        <w:fldChar w:fldCharType="end"/>
      </w:r>
      <w:r w:rsidRPr="00F36D62">
        <w:rPr>
          <w:rFonts w:ascii="Garamond" w:hAnsi="Garamond"/>
        </w:rPr>
        <w:t xml:space="preserve"> y </w:t>
      </w:r>
      <w:r w:rsidRPr="00F36D62">
        <w:rPr>
          <w:rFonts w:ascii="Garamond" w:hAnsi="Garamond"/>
        </w:rPr>
        <w:fldChar w:fldCharType="begin"/>
      </w:r>
      <w:r w:rsidRPr="00F36D62">
        <w:rPr>
          <w:rFonts w:ascii="Garamond" w:hAnsi="Garamond"/>
        </w:rPr>
        <w:instrText xml:space="preserve"> NOTEREF _Ref7016577 \h  \* MERGEFORMAT </w:instrText>
      </w:r>
      <w:r w:rsidRPr="00F36D62">
        <w:rPr>
          <w:rFonts w:ascii="Garamond" w:hAnsi="Garamond"/>
        </w:rPr>
      </w:r>
      <w:r w:rsidRPr="00F36D62">
        <w:rPr>
          <w:rFonts w:ascii="Garamond" w:hAnsi="Garamond"/>
        </w:rPr>
        <w:fldChar w:fldCharType="separate"/>
      </w:r>
      <w:r w:rsidRPr="00F36D62">
        <w:rPr>
          <w:rFonts w:ascii="Garamond" w:hAnsi="Garamond"/>
        </w:rPr>
        <w:t>56</w:t>
      </w:r>
      <w:r w:rsidRPr="00F36D62">
        <w:rPr>
          <w:rFonts w:ascii="Garamond" w:hAnsi="Garamond"/>
        </w:rPr>
        <w:fldChar w:fldCharType="end"/>
      </w:r>
      <w:r w:rsidRPr="00F36D62">
        <w:rPr>
          <w:rFonts w:ascii="Garamond" w:hAnsi="Garamond"/>
        </w:rPr>
        <w:t xml:space="preserve">. </w:t>
      </w:r>
    </w:p>
  </w:footnote>
  <w:footnote w:id="85">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Sobre esta equiparación en </w:t>
      </w:r>
      <w:r w:rsidRPr="00F36D62">
        <w:rPr>
          <w:rFonts w:ascii="Garamond" w:hAnsi="Garamond"/>
          <w:lang w:val="es-CL"/>
        </w:rPr>
        <w:t xml:space="preserve">el homicidio en general, </w:t>
      </w:r>
      <w:r w:rsidRPr="00F36D62">
        <w:rPr>
          <w:rFonts w:ascii="Garamond" w:hAnsi="Garamond"/>
          <w:i/>
          <w:lang w:val="es-CL"/>
        </w:rPr>
        <w:t>vid.</w:t>
      </w:r>
      <w:r w:rsidRPr="00F36D62">
        <w:rPr>
          <w:rFonts w:ascii="Garamond" w:hAnsi="Garamond"/>
          <w:lang w:val="es-CL"/>
        </w:rPr>
        <w:t xml:space="preserve"> </w:t>
      </w:r>
      <w:r w:rsidRPr="00F36D62">
        <w:rPr>
          <w:rFonts w:ascii="Garamond" w:hAnsi="Garamond"/>
          <w:smallCaps/>
          <w:lang w:val="es-CL"/>
        </w:rPr>
        <w:t>Mommsen</w:t>
      </w:r>
      <w:r w:rsidRPr="00F36D62">
        <w:rPr>
          <w:rFonts w:ascii="Garamond" w:hAnsi="Garamond"/>
          <w:lang w:val="es-CL"/>
        </w:rPr>
        <w:t xml:space="preserve">, Theodor, </w:t>
      </w:r>
      <w:r w:rsidRPr="00F36D62">
        <w:rPr>
          <w:rFonts w:ascii="Garamond" w:hAnsi="Garamond"/>
          <w:i/>
          <w:lang w:val="es-CL"/>
        </w:rPr>
        <w:t>Derecho Penal Romano</w:t>
      </w:r>
      <w:r w:rsidRPr="00F36D62">
        <w:rPr>
          <w:rFonts w:ascii="Garamond" w:hAnsi="Garamond"/>
          <w:lang w:val="es-CL"/>
        </w:rPr>
        <w:t xml:space="preserve"> (trad. cast., Pamplona, Analecta Editorial, 1999), II, p. 107. </w:t>
      </w:r>
    </w:p>
  </w:footnote>
  <w:footnote w:id="8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D. 48, 9, 6: “</w:t>
      </w:r>
      <w:r w:rsidRPr="00F36D62">
        <w:rPr>
          <w:rFonts w:ascii="Garamond" w:hAnsi="Garamond"/>
          <w:i/>
          <w:smallCaps/>
        </w:rPr>
        <w:t>Ulpiano</w:t>
      </w:r>
      <w:r w:rsidRPr="00F36D62">
        <w:rPr>
          <w:rFonts w:ascii="Garamond" w:hAnsi="Garamond"/>
          <w:i/>
        </w:rPr>
        <w:t>;</w:t>
      </w:r>
      <w:r w:rsidRPr="00F36D62">
        <w:rPr>
          <w:rFonts w:ascii="Garamond" w:hAnsi="Garamond"/>
        </w:rPr>
        <w:t xml:space="preserve"> Del cargo de </w:t>
      </w:r>
      <w:proofErr w:type="spellStart"/>
      <w:r w:rsidRPr="00F36D62">
        <w:rPr>
          <w:rFonts w:ascii="Garamond" w:hAnsi="Garamond"/>
        </w:rPr>
        <w:t>Proconsul</w:t>
      </w:r>
      <w:proofErr w:type="spellEnd"/>
      <w:r w:rsidRPr="00F36D62">
        <w:rPr>
          <w:rFonts w:ascii="Garamond" w:hAnsi="Garamond"/>
        </w:rPr>
        <w:t xml:space="preserve">, libro VII. – </w:t>
      </w:r>
      <w:r w:rsidRPr="00F36D62">
        <w:rPr>
          <w:rFonts w:ascii="Garamond" w:hAnsi="Garamond"/>
          <w:i/>
        </w:rPr>
        <w:t xml:space="preserve">Se puede preguntar, si son castigados con la pena de parricidio los que mataron </w:t>
      </w:r>
      <w:proofErr w:type="spellStart"/>
      <w:r w:rsidRPr="00F36D62">
        <w:rPr>
          <w:rFonts w:ascii="Garamond" w:hAnsi="Garamond"/>
          <w:i/>
        </w:rPr>
        <w:t>á</w:t>
      </w:r>
      <w:proofErr w:type="spellEnd"/>
      <w:r w:rsidRPr="00F36D62">
        <w:rPr>
          <w:rFonts w:ascii="Garamond" w:hAnsi="Garamond"/>
          <w:i/>
        </w:rPr>
        <w:t xml:space="preserve"> sus ascendientes, o si también los cómplices; y dice Meciano, que han de ser castigados con la misma pena también los cómplices, no solamente los parricidas; por consiguiente, también los cómplices extraños han de ser castigados con la misma pena.</w:t>
      </w:r>
      <w:r w:rsidRPr="00F36D62">
        <w:rPr>
          <w:rFonts w:ascii="Garamond" w:hAnsi="Garamond"/>
        </w:rPr>
        <w:t xml:space="preserve">” Según </w:t>
      </w:r>
      <w:r w:rsidRPr="00F36D62">
        <w:rPr>
          <w:rFonts w:ascii="Garamond" w:hAnsi="Garamond"/>
          <w:smallCaps/>
        </w:rPr>
        <w:t>Cloud</w:t>
      </w:r>
      <w:r w:rsidRPr="00F36D62">
        <w:rPr>
          <w:rFonts w:ascii="Garamond" w:hAnsi="Garamond"/>
        </w:rPr>
        <w:t xml:space="preserve">, J. D., </w:t>
      </w:r>
      <w:r w:rsidRPr="00F36D62">
        <w:rPr>
          <w:rFonts w:ascii="Garamond" w:hAnsi="Garamond"/>
          <w:i/>
          <w:lang w:val="es-CL"/>
        </w:rPr>
        <w:t xml:space="preserve">Parricidium: </w:t>
      </w:r>
      <w:proofErr w:type="spellStart"/>
      <w:r w:rsidRPr="00F36D62">
        <w:rPr>
          <w:rFonts w:ascii="Garamond" w:hAnsi="Garamond"/>
          <w:i/>
          <w:lang w:val="es-CL"/>
        </w:rPr>
        <w:t>from</w:t>
      </w:r>
      <w:proofErr w:type="spellEnd"/>
      <w:r w:rsidRPr="00F36D62">
        <w:rPr>
          <w:rFonts w:ascii="Garamond" w:hAnsi="Garamond"/>
          <w:i/>
          <w:lang w:val="es-CL"/>
        </w:rPr>
        <w:t xml:space="preserve"> </w:t>
      </w:r>
      <w:proofErr w:type="spellStart"/>
      <w:r w:rsidRPr="00F36D62">
        <w:rPr>
          <w:rFonts w:ascii="Garamond" w:hAnsi="Garamond"/>
          <w:i/>
          <w:lang w:val="es-CL"/>
        </w:rPr>
        <w:t>the</w:t>
      </w:r>
      <w:proofErr w:type="spellEnd"/>
      <w:r w:rsidRPr="00F36D62">
        <w:rPr>
          <w:rFonts w:ascii="Garamond" w:hAnsi="Garamond"/>
          <w:i/>
          <w:lang w:val="es-CL"/>
        </w:rPr>
        <w:t xml:space="preserve"> lex Numae to </w:t>
      </w:r>
      <w:proofErr w:type="spellStart"/>
      <w:r w:rsidRPr="00F36D62">
        <w:rPr>
          <w:rFonts w:ascii="Garamond" w:hAnsi="Garamond"/>
          <w:i/>
          <w:lang w:val="es-CL"/>
        </w:rPr>
        <w:t>the</w:t>
      </w:r>
      <w:proofErr w:type="spellEnd"/>
      <w:r w:rsidRPr="00F36D62">
        <w:rPr>
          <w:rFonts w:ascii="Garamond" w:hAnsi="Garamond"/>
          <w:i/>
          <w:lang w:val="es-CL"/>
        </w:rPr>
        <w:t xml:space="preserve"> lex Pompeia de parricidiis</w:t>
      </w:r>
      <w:r w:rsidRPr="00F36D62">
        <w:rPr>
          <w:rFonts w:ascii="Garamond" w:hAnsi="Garamond"/>
        </w:rPr>
        <w:t xml:space="preserve">, en </w:t>
      </w:r>
      <w:r w:rsidRPr="00F36D62">
        <w:rPr>
          <w:rFonts w:ascii="Garamond" w:hAnsi="Garamond"/>
          <w:i/>
        </w:rPr>
        <w:t>ZSS</w:t>
      </w:r>
      <w:r w:rsidRPr="00F36D62">
        <w:rPr>
          <w:rFonts w:ascii="Garamond" w:hAnsi="Garamond"/>
        </w:rPr>
        <w:t>, 88 (1971), p. 53, la referencia a la autoridad de Meciano y no al texto de la ley, justifica que el pasaje recoja una discusión del siglo III y no el contenido de la ley</w:t>
      </w:r>
      <w:r w:rsidRPr="00F36D62">
        <w:rPr>
          <w:rFonts w:ascii="Garamond" w:hAnsi="Garamond"/>
          <w:lang w:val="es-CL"/>
        </w:rPr>
        <w:t xml:space="preserve">. </w:t>
      </w:r>
      <w:r w:rsidRPr="00F36D62">
        <w:rPr>
          <w:rFonts w:ascii="Garamond" w:hAnsi="Garamond"/>
        </w:rPr>
        <w:t>Sin embargo, en Inst. 4, 18, 6, el alcance del parricidio a “</w:t>
      </w:r>
      <w:r w:rsidRPr="00F36D62">
        <w:rPr>
          <w:rFonts w:ascii="Garamond" w:hAnsi="Garamond"/>
          <w:i/>
        </w:rPr>
        <w:t xml:space="preserve">aquel por cuyo dolo malo se hizo esto, </w:t>
      </w:r>
      <w:proofErr w:type="spellStart"/>
      <w:r w:rsidRPr="00F36D62">
        <w:rPr>
          <w:rFonts w:ascii="Garamond" w:hAnsi="Garamond"/>
          <w:i/>
        </w:rPr>
        <w:t>ó</w:t>
      </w:r>
      <w:proofErr w:type="spellEnd"/>
      <w:r w:rsidRPr="00F36D62">
        <w:rPr>
          <w:rFonts w:ascii="Garamond" w:hAnsi="Garamond"/>
          <w:i/>
        </w:rPr>
        <w:t xml:space="preserve"> el que </w:t>
      </w:r>
      <w:proofErr w:type="spellStart"/>
      <w:r w:rsidRPr="00F36D62">
        <w:rPr>
          <w:rFonts w:ascii="Garamond" w:hAnsi="Garamond"/>
          <w:i/>
        </w:rPr>
        <w:t>fué</w:t>
      </w:r>
      <w:proofErr w:type="spellEnd"/>
      <w:r w:rsidRPr="00F36D62">
        <w:rPr>
          <w:rFonts w:ascii="Garamond" w:hAnsi="Garamond"/>
          <w:i/>
        </w:rPr>
        <w:t xml:space="preserve"> cómplice del crimen, aunque sea extraño </w:t>
      </w:r>
      <w:proofErr w:type="spellStart"/>
      <w:r w:rsidRPr="00F36D62">
        <w:rPr>
          <w:rFonts w:ascii="Garamond" w:hAnsi="Garamond"/>
          <w:i/>
        </w:rPr>
        <w:t>á</w:t>
      </w:r>
      <w:proofErr w:type="spellEnd"/>
      <w:r w:rsidRPr="00F36D62">
        <w:rPr>
          <w:rFonts w:ascii="Garamond" w:hAnsi="Garamond"/>
          <w:i/>
        </w:rPr>
        <w:t xml:space="preserve"> la familia</w:t>
      </w:r>
      <w:r w:rsidRPr="00F36D62">
        <w:rPr>
          <w:rFonts w:ascii="Garamond" w:hAnsi="Garamond"/>
        </w:rPr>
        <w:t>” se presenta de un modo diverso (“</w:t>
      </w:r>
      <w:r w:rsidRPr="00F36D62">
        <w:rPr>
          <w:rFonts w:ascii="Garamond" w:hAnsi="Garamond"/>
          <w:i/>
        </w:rPr>
        <w:t>Por ella [ley Pompeya sobre los parricidios] se dispone</w:t>
      </w:r>
      <w:r w:rsidRPr="00F36D62">
        <w:rPr>
          <w:rFonts w:ascii="Garamond" w:hAnsi="Garamond"/>
        </w:rPr>
        <w:t xml:space="preserve">”). </w:t>
      </w:r>
    </w:p>
  </w:footnote>
  <w:footnote w:id="87">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Además, en ellas la cualidad personal recae sobre el presupuesto y no sobre las consecuencias, a diferencia de las fuentes que cita Pessina, en las cuales el carácter personal se vincula con la pena; </w:t>
      </w:r>
      <w:r w:rsidRPr="00F36D62">
        <w:rPr>
          <w:rFonts w:ascii="Garamond" w:hAnsi="Garamond"/>
          <w:i/>
        </w:rPr>
        <w:t>vid. supra</w:t>
      </w:r>
      <w:r w:rsidRPr="00F36D62">
        <w:rPr>
          <w:rFonts w:ascii="Garamond" w:hAnsi="Garamond"/>
        </w:rPr>
        <w:t xml:space="preserve"> n. </w:t>
      </w:r>
      <w:r w:rsidRPr="00F36D62">
        <w:rPr>
          <w:rFonts w:ascii="Garamond" w:hAnsi="Garamond"/>
        </w:rPr>
        <w:fldChar w:fldCharType="begin"/>
      </w:r>
      <w:r w:rsidRPr="00F36D62">
        <w:rPr>
          <w:rFonts w:ascii="Garamond" w:hAnsi="Garamond"/>
        </w:rPr>
        <w:instrText xml:space="preserve"> NOTEREF _Ref7015341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82</w:t>
      </w:r>
      <w:r w:rsidRPr="00F36D62">
        <w:rPr>
          <w:rFonts w:ascii="Garamond" w:hAnsi="Garamond"/>
        </w:rPr>
        <w:fldChar w:fldCharType="end"/>
      </w:r>
      <w:r w:rsidRPr="00F36D62">
        <w:rPr>
          <w:rFonts w:ascii="Garamond" w:hAnsi="Garamond"/>
          <w:lang w:val="es-CL"/>
        </w:rPr>
        <w:t xml:space="preserve">. </w:t>
      </w:r>
    </w:p>
  </w:footnote>
  <w:footnote w:id="8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Así, respectivamente, </w:t>
      </w:r>
      <w:r w:rsidRPr="00F36D62">
        <w:rPr>
          <w:rFonts w:ascii="Garamond" w:hAnsi="Garamond"/>
          <w:smallCaps/>
          <w:lang w:val="it-IT"/>
        </w:rPr>
        <w:t>Saluto</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_Ref7377654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62</w:t>
      </w:r>
      <w:r w:rsidRPr="00F36D62">
        <w:rPr>
          <w:rFonts w:ascii="Garamond" w:hAnsi="Garamond"/>
        </w:rPr>
        <w:fldChar w:fldCharType="end"/>
      </w:r>
      <w:r w:rsidRPr="00F36D62">
        <w:rPr>
          <w:rFonts w:ascii="Garamond" w:hAnsi="Garamond"/>
          <w:lang w:val="it-IT"/>
        </w:rPr>
        <w:t xml:space="preserve">), I, p. 331; </w:t>
      </w:r>
      <w:r w:rsidRPr="00F36D62">
        <w:rPr>
          <w:rFonts w:ascii="Garamond" w:hAnsi="Garamond"/>
          <w:smallCaps/>
          <w:lang w:val="it-IT"/>
        </w:rPr>
        <w:t>Saluto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_Ref7015970 \h  \* MERGEFORMAT </w:instrText>
      </w:r>
      <w:r w:rsidRPr="00F36D62">
        <w:rPr>
          <w:rFonts w:ascii="Garamond" w:hAnsi="Garamond"/>
        </w:rPr>
      </w:r>
      <w:r w:rsidRPr="00F36D62">
        <w:rPr>
          <w:rFonts w:ascii="Garamond" w:hAnsi="Garamond"/>
        </w:rPr>
        <w:fldChar w:fldCharType="separate"/>
      </w:r>
      <w:r w:rsidRPr="00F36D62">
        <w:rPr>
          <w:rFonts w:ascii="Garamond" w:hAnsi="Garamond"/>
        </w:rPr>
        <w:t>74</w:t>
      </w:r>
      <w:r w:rsidRPr="00F36D62">
        <w:rPr>
          <w:rFonts w:ascii="Garamond" w:hAnsi="Garamond"/>
        </w:rPr>
        <w:fldChar w:fldCharType="end"/>
      </w:r>
      <w:r w:rsidRPr="00F36D62">
        <w:rPr>
          <w:rFonts w:ascii="Garamond" w:hAnsi="Garamond"/>
        </w:rPr>
        <w:t>), II, pp. 406-407.</w:t>
      </w:r>
    </w:p>
  </w:footnote>
  <w:footnote w:id="89">
    <w:p w:rsidR="00306473" w:rsidRPr="00F36D62" w:rsidRDefault="00306473" w:rsidP="00E229F1">
      <w:pPr>
        <w:rPr>
          <w:rFonts w:ascii="Garamond" w:hAnsi="Garamond"/>
          <w:sz w:val="20"/>
          <w:szCs w:val="20"/>
        </w:rPr>
      </w:pPr>
      <w:r w:rsidRPr="00F36D62">
        <w:rPr>
          <w:rStyle w:val="Refdenotaalpie"/>
          <w:rFonts w:ascii="Garamond" w:hAnsi="Garamond"/>
          <w:sz w:val="20"/>
          <w:szCs w:val="20"/>
        </w:rPr>
        <w:footnoteRef/>
      </w:r>
      <w:r w:rsidRPr="00F36D62">
        <w:rPr>
          <w:rFonts w:ascii="Garamond" w:hAnsi="Garamond"/>
          <w:sz w:val="20"/>
          <w:szCs w:val="20"/>
        </w:rPr>
        <w:t xml:space="preserve"> D. 47, 2, 36 y D. 47, 2, 52: “</w:t>
      </w:r>
      <w:r w:rsidRPr="00F36D62">
        <w:rPr>
          <w:rFonts w:ascii="Garamond" w:hAnsi="Garamond"/>
          <w:i/>
          <w:sz w:val="20"/>
          <w:szCs w:val="20"/>
        </w:rPr>
        <w:t xml:space="preserve">36. </w:t>
      </w:r>
      <w:r w:rsidRPr="00F36D62">
        <w:rPr>
          <w:rFonts w:ascii="Garamond" w:hAnsi="Garamond"/>
          <w:i/>
          <w:smallCaps/>
          <w:sz w:val="20"/>
          <w:szCs w:val="20"/>
        </w:rPr>
        <w:t>Ulpiano</w:t>
      </w:r>
      <w:r w:rsidRPr="00F36D62">
        <w:rPr>
          <w:rFonts w:ascii="Garamond" w:hAnsi="Garamond"/>
          <w:i/>
          <w:sz w:val="20"/>
          <w:szCs w:val="20"/>
        </w:rPr>
        <w:t>;</w:t>
      </w:r>
      <w:r w:rsidRPr="00F36D62">
        <w:rPr>
          <w:rFonts w:ascii="Garamond" w:hAnsi="Garamond"/>
          <w:sz w:val="20"/>
          <w:szCs w:val="20"/>
        </w:rPr>
        <w:t xml:space="preserve"> </w:t>
      </w:r>
      <w:r w:rsidRPr="00F36D62">
        <w:rPr>
          <w:rFonts w:ascii="Garamond" w:hAnsi="Garamond"/>
          <w:i/>
          <w:sz w:val="20"/>
          <w:szCs w:val="20"/>
        </w:rPr>
        <w:t>Comentarios á Sabino, libro XLI</w:t>
      </w:r>
      <w:r w:rsidRPr="00F36D62">
        <w:rPr>
          <w:rFonts w:ascii="Garamond" w:hAnsi="Garamond"/>
          <w:sz w:val="20"/>
          <w:szCs w:val="20"/>
        </w:rPr>
        <w:t xml:space="preserve">. – […] </w:t>
      </w:r>
    </w:p>
    <w:p w:rsidR="00306473" w:rsidRPr="00F36D62" w:rsidRDefault="00306473" w:rsidP="00E229F1">
      <w:pPr>
        <w:rPr>
          <w:rFonts w:ascii="Garamond" w:hAnsi="Garamond"/>
          <w:i/>
          <w:sz w:val="20"/>
          <w:szCs w:val="20"/>
        </w:rPr>
      </w:pPr>
      <w:r w:rsidRPr="00F36D62">
        <w:rPr>
          <w:rFonts w:ascii="Garamond" w:hAnsi="Garamond"/>
          <w:i/>
          <w:sz w:val="20"/>
          <w:szCs w:val="20"/>
        </w:rPr>
        <w:t xml:space="preserve">§1. – También se determinó, que el que presta ayuda al hijo, </w:t>
      </w:r>
      <w:proofErr w:type="spellStart"/>
      <w:r w:rsidRPr="00F36D62">
        <w:rPr>
          <w:rFonts w:ascii="Garamond" w:hAnsi="Garamond"/>
          <w:i/>
          <w:sz w:val="20"/>
          <w:szCs w:val="20"/>
        </w:rPr>
        <w:t>ó</w:t>
      </w:r>
      <w:proofErr w:type="spellEnd"/>
      <w:r w:rsidRPr="00F36D62">
        <w:rPr>
          <w:rFonts w:ascii="Garamond" w:hAnsi="Garamond"/>
          <w:i/>
          <w:sz w:val="20"/>
          <w:szCs w:val="20"/>
        </w:rPr>
        <w:t xml:space="preserve"> al esclavo, o a la mujer, que hacen un hurto, está sujeto a la acción del hurto, aunque aquellos mismos no sean demandados con la acción de hurto.</w:t>
      </w:r>
    </w:p>
    <w:p w:rsidR="00306473" w:rsidRPr="00F36D62" w:rsidRDefault="00306473" w:rsidP="00E229F1">
      <w:pPr>
        <w:rPr>
          <w:rFonts w:ascii="Garamond" w:hAnsi="Garamond"/>
          <w:sz w:val="20"/>
          <w:szCs w:val="20"/>
        </w:rPr>
      </w:pPr>
      <w:r w:rsidRPr="00F36D62">
        <w:rPr>
          <w:rFonts w:ascii="Garamond" w:hAnsi="Garamond"/>
          <w:i/>
          <w:sz w:val="20"/>
          <w:szCs w:val="20"/>
        </w:rPr>
        <w:t xml:space="preserve">§2. – El mismo Pomponio dice, que si un esclavo hubiere huido con cosas, podría ser demandado por razón de las cosas con la acción de hurto el seductor, porque dio ayuda y consejo al ladrón; lo que también indica Sabino. </w:t>
      </w:r>
      <w:r w:rsidRPr="00F36D62">
        <w:rPr>
          <w:rFonts w:ascii="Garamond" w:hAnsi="Garamond"/>
          <w:sz w:val="20"/>
          <w:szCs w:val="20"/>
        </w:rPr>
        <w:t>[…]</w:t>
      </w:r>
    </w:p>
    <w:p w:rsidR="00306473" w:rsidRPr="00F36D62" w:rsidRDefault="00306473" w:rsidP="00E229F1">
      <w:pPr>
        <w:rPr>
          <w:rFonts w:ascii="Garamond" w:hAnsi="Garamond"/>
          <w:i/>
          <w:sz w:val="20"/>
          <w:szCs w:val="20"/>
        </w:rPr>
      </w:pPr>
      <w:r w:rsidRPr="00F36D62">
        <w:rPr>
          <w:rFonts w:ascii="Garamond" w:hAnsi="Garamond"/>
          <w:i/>
          <w:sz w:val="20"/>
          <w:szCs w:val="20"/>
        </w:rPr>
        <w:t xml:space="preserve">52. [53.] </w:t>
      </w:r>
      <w:r w:rsidRPr="00F36D62">
        <w:rPr>
          <w:rFonts w:ascii="Garamond" w:hAnsi="Garamond"/>
          <w:i/>
          <w:smallCaps/>
          <w:sz w:val="20"/>
          <w:szCs w:val="20"/>
        </w:rPr>
        <w:t>Ulpiano</w:t>
      </w:r>
      <w:r w:rsidRPr="00F36D62">
        <w:rPr>
          <w:rFonts w:ascii="Garamond" w:hAnsi="Garamond"/>
          <w:i/>
          <w:sz w:val="20"/>
          <w:szCs w:val="20"/>
        </w:rPr>
        <w:t>;</w:t>
      </w:r>
      <w:r w:rsidRPr="00F36D62">
        <w:rPr>
          <w:rFonts w:ascii="Garamond" w:hAnsi="Garamond"/>
          <w:sz w:val="20"/>
          <w:szCs w:val="20"/>
        </w:rPr>
        <w:t xml:space="preserve"> </w:t>
      </w:r>
      <w:r w:rsidRPr="00F36D62">
        <w:rPr>
          <w:rFonts w:ascii="Garamond" w:hAnsi="Garamond"/>
          <w:i/>
          <w:sz w:val="20"/>
          <w:szCs w:val="20"/>
        </w:rPr>
        <w:t>Comentarios al Edicto, libro XXXVII.</w:t>
      </w:r>
      <w:r w:rsidRPr="00F36D62">
        <w:rPr>
          <w:rFonts w:ascii="Garamond" w:hAnsi="Garamond"/>
          <w:sz w:val="20"/>
          <w:szCs w:val="20"/>
        </w:rPr>
        <w:t xml:space="preserve"> – </w:t>
      </w:r>
      <w:r w:rsidRPr="00F36D62">
        <w:rPr>
          <w:rFonts w:ascii="Garamond" w:hAnsi="Garamond"/>
          <w:i/>
          <w:sz w:val="20"/>
          <w:szCs w:val="20"/>
        </w:rPr>
        <w:t xml:space="preserve">Si alguno le hubiere prestado ayuda </w:t>
      </w:r>
      <w:proofErr w:type="spellStart"/>
      <w:r w:rsidRPr="00F36D62">
        <w:rPr>
          <w:rFonts w:ascii="Garamond" w:hAnsi="Garamond"/>
          <w:i/>
          <w:sz w:val="20"/>
          <w:szCs w:val="20"/>
        </w:rPr>
        <w:t>ó</w:t>
      </w:r>
      <w:proofErr w:type="spellEnd"/>
      <w:r w:rsidRPr="00F36D62">
        <w:rPr>
          <w:rFonts w:ascii="Garamond" w:hAnsi="Garamond"/>
          <w:i/>
          <w:sz w:val="20"/>
          <w:szCs w:val="20"/>
        </w:rPr>
        <w:t xml:space="preserve"> consejo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mujer, que substrajere cosas del marido, estará sujeto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acción de hurto.</w:t>
      </w:r>
    </w:p>
    <w:p w:rsidR="00306473" w:rsidRPr="00F36D62" w:rsidRDefault="00306473" w:rsidP="00E229F1">
      <w:pPr>
        <w:rPr>
          <w:rFonts w:ascii="Garamond" w:hAnsi="Garamond"/>
          <w:i/>
          <w:sz w:val="20"/>
          <w:szCs w:val="20"/>
        </w:rPr>
      </w:pPr>
      <w:r w:rsidRPr="00F36D62">
        <w:rPr>
          <w:rFonts w:ascii="Garamond" w:hAnsi="Garamond"/>
          <w:i/>
          <w:sz w:val="20"/>
          <w:szCs w:val="20"/>
        </w:rPr>
        <w:t xml:space="preserve">§1. – Pero si con ella hizo el hurto, también estará sujeto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acción de hurto, no estando ella misma sujeta.</w:t>
      </w:r>
    </w:p>
    <w:p w:rsidR="00306473" w:rsidRPr="00F36D62" w:rsidRDefault="00306473" w:rsidP="00E229F1">
      <w:pPr>
        <w:rPr>
          <w:rFonts w:ascii="Garamond" w:hAnsi="Garamond"/>
          <w:i/>
          <w:sz w:val="20"/>
          <w:szCs w:val="20"/>
        </w:rPr>
      </w:pPr>
      <w:r w:rsidRPr="00F36D62">
        <w:rPr>
          <w:rFonts w:ascii="Garamond" w:hAnsi="Garamond"/>
          <w:i/>
          <w:sz w:val="20"/>
          <w:szCs w:val="20"/>
        </w:rPr>
        <w:t xml:space="preserve">§2. – Ella misma, si le prestó ayuda al ladrón, tampoco estará sujeta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acción de hurto, sino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de cosas amovidas.</w:t>
      </w:r>
    </w:p>
    <w:p w:rsidR="00306473" w:rsidRPr="00F36D62" w:rsidRDefault="00306473" w:rsidP="00E229F1">
      <w:pPr>
        <w:rPr>
          <w:rFonts w:ascii="Garamond" w:hAnsi="Garamond"/>
          <w:i/>
          <w:sz w:val="20"/>
          <w:szCs w:val="20"/>
        </w:rPr>
      </w:pPr>
      <w:r w:rsidRPr="00F36D62">
        <w:rPr>
          <w:rFonts w:ascii="Garamond" w:hAnsi="Garamond"/>
          <w:i/>
          <w:sz w:val="20"/>
          <w:szCs w:val="20"/>
        </w:rPr>
        <w:t xml:space="preserve">§3. – De ninguna manera se ha de dudar, que </w:t>
      </w:r>
      <w:proofErr w:type="spellStart"/>
      <w:r w:rsidRPr="00F36D62">
        <w:rPr>
          <w:rFonts w:ascii="Garamond" w:hAnsi="Garamond"/>
          <w:i/>
          <w:sz w:val="20"/>
          <w:szCs w:val="20"/>
        </w:rPr>
        <w:t>á</w:t>
      </w:r>
      <w:proofErr w:type="spellEnd"/>
      <w:r w:rsidRPr="00F36D62">
        <w:rPr>
          <w:rFonts w:ascii="Garamond" w:hAnsi="Garamond"/>
          <w:i/>
          <w:sz w:val="20"/>
          <w:szCs w:val="20"/>
        </w:rPr>
        <w:t xml:space="preserve"> nombre de un esclavo suyo está ella sujeto </w:t>
      </w:r>
      <w:proofErr w:type="spellStart"/>
      <w:r w:rsidRPr="00F36D62">
        <w:rPr>
          <w:rFonts w:ascii="Garamond" w:hAnsi="Garamond"/>
          <w:i/>
          <w:sz w:val="20"/>
          <w:szCs w:val="20"/>
        </w:rPr>
        <w:t>á</w:t>
      </w:r>
      <w:proofErr w:type="spellEnd"/>
      <w:r w:rsidRPr="00F36D62">
        <w:rPr>
          <w:rFonts w:ascii="Garamond" w:hAnsi="Garamond"/>
          <w:i/>
          <w:sz w:val="20"/>
          <w:szCs w:val="20"/>
        </w:rPr>
        <w:t xml:space="preserve"> la acción de hurto.</w:t>
      </w:r>
    </w:p>
    <w:p w:rsidR="00306473" w:rsidRPr="00F36D62" w:rsidRDefault="00306473" w:rsidP="00B75A7D">
      <w:pPr>
        <w:pStyle w:val="Textonotapie"/>
        <w:rPr>
          <w:rFonts w:ascii="Garamond" w:hAnsi="Garamond"/>
        </w:rPr>
      </w:pPr>
      <w:r w:rsidRPr="00F36D62">
        <w:rPr>
          <w:rFonts w:ascii="Garamond" w:hAnsi="Garamond"/>
          <w:i/>
        </w:rPr>
        <w:t xml:space="preserve">§4. – Lo mismo se ha de decir también respecto á un hijo de familia militar; porque él mismo no estará obligado </w:t>
      </w:r>
      <w:proofErr w:type="spellStart"/>
      <w:r w:rsidRPr="00F36D62">
        <w:rPr>
          <w:rFonts w:ascii="Garamond" w:hAnsi="Garamond"/>
          <w:i/>
        </w:rPr>
        <w:t>á</w:t>
      </w:r>
      <w:proofErr w:type="spellEnd"/>
      <w:r w:rsidRPr="00F36D62">
        <w:rPr>
          <w:rFonts w:ascii="Garamond" w:hAnsi="Garamond"/>
          <w:i/>
        </w:rPr>
        <w:t xml:space="preserve"> su padre por la acción de hurto; pero estará obligado en nombre del esclavo suyo del peculio castrense, si el esclavo le hubiere hecho hurto al padre.</w:t>
      </w:r>
      <w:r w:rsidRPr="00F36D62">
        <w:rPr>
          <w:rFonts w:ascii="Garamond" w:hAnsi="Garamond"/>
        </w:rPr>
        <w:t xml:space="preserve">” </w:t>
      </w:r>
      <w:r w:rsidRPr="00F36D62">
        <w:rPr>
          <w:rFonts w:ascii="Garamond" w:hAnsi="Garamond"/>
          <w:smallCaps/>
        </w:rPr>
        <w:t>Arabia</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_Ref7358752 \h  \* MERGEFORMAT </w:instrText>
      </w:r>
      <w:r w:rsidRPr="00F36D62">
        <w:rPr>
          <w:rFonts w:ascii="Garamond" w:hAnsi="Garamond"/>
        </w:rPr>
      </w:r>
      <w:r w:rsidRPr="00F36D62">
        <w:rPr>
          <w:rFonts w:ascii="Garamond" w:hAnsi="Garamond"/>
        </w:rPr>
        <w:fldChar w:fldCharType="separate"/>
      </w:r>
      <w:r w:rsidRPr="00F36D62">
        <w:rPr>
          <w:rFonts w:ascii="Garamond" w:hAnsi="Garamond"/>
        </w:rPr>
        <w:t>5</w:t>
      </w:r>
      <w:r w:rsidRPr="00F36D62">
        <w:rPr>
          <w:rFonts w:ascii="Garamond" w:hAnsi="Garamond"/>
        </w:rPr>
        <w:fldChar w:fldCharType="end"/>
      </w:r>
      <w:r w:rsidRPr="00F36D62">
        <w:rPr>
          <w:rFonts w:ascii="Garamond" w:hAnsi="Garamond"/>
        </w:rPr>
        <w:t xml:space="preserve">), II, p. 185 transcribe el primer párrafo (aunque atribuyéndolo al 32), haciendo sólo una remisión al segundo en nota a pie de página, que, aunque genérica, entendemos limitada a las secciones reproducidas. </w:t>
      </w:r>
    </w:p>
  </w:footnote>
  <w:footnote w:id="90">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 xml:space="preserve">Albanese, </w:t>
      </w:r>
      <w:r w:rsidRPr="00F36D62">
        <w:rPr>
          <w:rFonts w:ascii="Garamond" w:hAnsi="Garamond"/>
          <w:lang w:val="it-IT"/>
        </w:rPr>
        <w:t xml:space="preserve">Bernardo, </w:t>
      </w:r>
      <w:r w:rsidRPr="00F36D62">
        <w:rPr>
          <w:rFonts w:ascii="Garamond" w:hAnsi="Garamond"/>
          <w:i/>
          <w:lang w:val="it-IT"/>
        </w:rPr>
        <w:t>Furto (storia)</w:t>
      </w:r>
      <w:r w:rsidRPr="00F36D62">
        <w:rPr>
          <w:rFonts w:ascii="Garamond" w:hAnsi="Garamond"/>
          <w:lang w:val="it-IT"/>
        </w:rPr>
        <w:t xml:space="preserve">, en </w:t>
      </w:r>
      <w:r w:rsidRPr="00F36D62">
        <w:rPr>
          <w:rFonts w:ascii="Garamond" w:hAnsi="Garamond"/>
          <w:smallCaps/>
          <w:lang w:val="it-IT"/>
        </w:rPr>
        <w:t>Mortati</w:t>
      </w:r>
      <w:r w:rsidRPr="00F36D62">
        <w:rPr>
          <w:rFonts w:ascii="Garamond" w:hAnsi="Garamond"/>
          <w:lang w:val="it-IT"/>
        </w:rPr>
        <w:t xml:space="preserve">, Costantino y </w:t>
      </w:r>
      <w:r w:rsidRPr="00F36D62">
        <w:rPr>
          <w:rFonts w:ascii="Garamond" w:hAnsi="Garamond"/>
          <w:smallCaps/>
          <w:lang w:val="it-IT"/>
        </w:rPr>
        <w:t>Pugliatti</w:t>
      </w:r>
      <w:r w:rsidRPr="00F36D62">
        <w:rPr>
          <w:rFonts w:ascii="Garamond" w:hAnsi="Garamond"/>
          <w:lang w:val="it-IT"/>
        </w:rPr>
        <w:t xml:space="preserve">, Salvatore (directores), </w:t>
      </w:r>
      <w:r w:rsidRPr="00F36D62">
        <w:rPr>
          <w:rFonts w:ascii="Garamond" w:hAnsi="Garamond"/>
          <w:i/>
          <w:lang w:val="it-IT"/>
        </w:rPr>
        <w:t>Enciclopedia del diritto</w:t>
      </w:r>
      <w:r w:rsidRPr="00F36D62">
        <w:rPr>
          <w:rFonts w:ascii="Garamond" w:hAnsi="Garamond"/>
          <w:lang w:val="it-IT"/>
        </w:rPr>
        <w:t xml:space="preserve">, XVII: </w:t>
      </w:r>
      <w:r w:rsidRPr="00F36D62">
        <w:rPr>
          <w:rFonts w:ascii="Garamond" w:hAnsi="Garamond"/>
          <w:i/>
          <w:lang w:val="it-IT"/>
        </w:rPr>
        <w:t>Foro – Guid</w:t>
      </w:r>
      <w:r w:rsidRPr="00F36D62">
        <w:rPr>
          <w:rFonts w:ascii="Garamond" w:hAnsi="Garamond"/>
          <w:lang w:val="it-IT"/>
        </w:rPr>
        <w:t xml:space="preserve"> (Palermo, Guiffrè, 1969), p. 313. </w:t>
      </w:r>
    </w:p>
  </w:footnote>
  <w:footnote w:id="91">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En oposición a </w:t>
      </w:r>
      <w:proofErr w:type="spellStart"/>
      <w:r w:rsidRPr="00F36D62">
        <w:rPr>
          <w:rFonts w:ascii="Garamond" w:hAnsi="Garamond"/>
          <w:i/>
        </w:rPr>
        <w:t>crimenes</w:t>
      </w:r>
      <w:proofErr w:type="spellEnd"/>
      <w:r w:rsidRPr="00F36D62">
        <w:rPr>
          <w:rFonts w:ascii="Garamond" w:hAnsi="Garamond"/>
        </w:rPr>
        <w:t xml:space="preserve">; </w:t>
      </w:r>
      <w:r w:rsidRPr="00F36D62">
        <w:rPr>
          <w:rFonts w:ascii="Garamond" w:hAnsi="Garamond"/>
          <w:i/>
        </w:rPr>
        <w:t>vid.</w:t>
      </w:r>
      <w:r w:rsidRPr="00F36D62">
        <w:rPr>
          <w:rFonts w:ascii="Garamond" w:hAnsi="Garamond"/>
        </w:rPr>
        <w:t xml:space="preserve"> </w:t>
      </w:r>
      <w:r w:rsidRPr="00F36D62">
        <w:rPr>
          <w:rFonts w:ascii="Garamond" w:hAnsi="Garamond"/>
          <w:smallCaps/>
        </w:rPr>
        <w:t>Guzmán Brito</w:t>
      </w:r>
      <w:r w:rsidRPr="00F36D62">
        <w:rPr>
          <w:rFonts w:ascii="Garamond" w:hAnsi="Garamond"/>
        </w:rPr>
        <w:t xml:space="preserve">, Alejandro, </w:t>
      </w:r>
      <w:r w:rsidRPr="00F36D62">
        <w:rPr>
          <w:rFonts w:ascii="Garamond" w:hAnsi="Garamond"/>
          <w:i/>
        </w:rPr>
        <w:t>Derecho privado romano</w:t>
      </w:r>
      <w:r w:rsidRPr="00F36D62">
        <w:rPr>
          <w:rFonts w:ascii="Garamond" w:hAnsi="Garamond"/>
        </w:rPr>
        <w:t xml:space="preserve"> (reimp. </w:t>
      </w:r>
      <w:r w:rsidRPr="00F36D62">
        <w:rPr>
          <w:rFonts w:ascii="Garamond" w:hAnsi="Garamond"/>
          <w:lang w:val="en-US"/>
        </w:rPr>
        <w:t xml:space="preserve">2010, Santiago, Editorial </w:t>
      </w:r>
      <w:proofErr w:type="spellStart"/>
      <w:r w:rsidRPr="00F36D62">
        <w:rPr>
          <w:rFonts w:ascii="Garamond" w:hAnsi="Garamond"/>
          <w:lang w:val="en-US"/>
        </w:rPr>
        <w:t>Jurídica</w:t>
      </w:r>
      <w:proofErr w:type="spellEnd"/>
      <w:r w:rsidRPr="00F36D62">
        <w:rPr>
          <w:rFonts w:ascii="Garamond" w:hAnsi="Garamond"/>
          <w:lang w:val="en-US"/>
        </w:rPr>
        <w:t xml:space="preserve"> de Chile, 1996), II, p. 231. Similar, </w:t>
      </w:r>
      <w:r w:rsidRPr="00F36D62">
        <w:rPr>
          <w:rFonts w:ascii="Garamond" w:hAnsi="Garamond"/>
          <w:smallCaps/>
          <w:lang w:val="en-US"/>
        </w:rPr>
        <w:t>Zimmermann</w:t>
      </w:r>
      <w:r w:rsidRPr="00F36D62">
        <w:rPr>
          <w:rFonts w:ascii="Garamond" w:hAnsi="Garamond"/>
          <w:lang w:val="en-US"/>
        </w:rPr>
        <w:t xml:space="preserve">, Reinhard, </w:t>
      </w:r>
      <w:r w:rsidRPr="00F36D62">
        <w:rPr>
          <w:rFonts w:ascii="Garamond" w:hAnsi="Garamond"/>
          <w:i/>
          <w:lang w:val="en-US"/>
        </w:rPr>
        <w:t>The law of obligations. Roman foundations of the civilian tradition</w:t>
      </w:r>
      <w:r w:rsidRPr="00F36D62">
        <w:rPr>
          <w:rFonts w:ascii="Garamond" w:hAnsi="Garamond"/>
          <w:lang w:val="en-US"/>
        </w:rPr>
        <w:t xml:space="preserve"> (Oxford, Oxford University Press, 1996), p. 917. </w:t>
      </w:r>
      <w:r w:rsidRPr="00F36D62">
        <w:rPr>
          <w:rFonts w:ascii="Garamond" w:hAnsi="Garamond"/>
        </w:rPr>
        <w:t xml:space="preserve">Confirma este carácter la introducción, “en la era imperial, de un </w:t>
      </w:r>
      <w:r w:rsidRPr="00F36D62">
        <w:rPr>
          <w:rFonts w:ascii="Garamond" w:hAnsi="Garamond"/>
          <w:i/>
        </w:rPr>
        <w:t xml:space="preserve">crimen </w:t>
      </w:r>
      <w:proofErr w:type="spellStart"/>
      <w:r w:rsidRPr="00F36D62">
        <w:rPr>
          <w:rFonts w:ascii="Garamond" w:hAnsi="Garamond"/>
          <w:i/>
          <w:lang w:val="es-CL"/>
        </w:rPr>
        <w:t>furti</w:t>
      </w:r>
      <w:proofErr w:type="spellEnd"/>
      <w:r w:rsidRPr="00F36D62">
        <w:rPr>
          <w:rFonts w:ascii="Garamond" w:hAnsi="Garamond"/>
        </w:rPr>
        <w:t>, entendido, ahora ya no como ilícito de derecho privado, sino como un ilícito de derecho público”</w:t>
      </w:r>
      <w:r w:rsidRPr="00F36D62">
        <w:rPr>
          <w:rFonts w:ascii="Garamond" w:hAnsi="Garamond"/>
          <w:smallCaps/>
          <w:lang w:val="es-CL"/>
        </w:rPr>
        <w:t xml:space="preserve"> (Albanese</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_Ref7387126 \h  \* MERGEFORMAT </w:instrText>
      </w:r>
      <w:r w:rsidRPr="00F36D62">
        <w:rPr>
          <w:rFonts w:ascii="Garamond" w:hAnsi="Garamond"/>
        </w:rPr>
      </w:r>
      <w:r w:rsidRPr="00F36D62">
        <w:rPr>
          <w:rFonts w:ascii="Garamond" w:hAnsi="Garamond"/>
        </w:rPr>
        <w:fldChar w:fldCharType="separate"/>
      </w:r>
      <w:r w:rsidRPr="00F36D62">
        <w:rPr>
          <w:rFonts w:ascii="Garamond" w:hAnsi="Garamond"/>
        </w:rPr>
        <w:t>90</w:t>
      </w:r>
      <w:r w:rsidRPr="00F36D62">
        <w:rPr>
          <w:rFonts w:ascii="Garamond" w:hAnsi="Garamond"/>
        </w:rPr>
        <w:fldChar w:fldCharType="end"/>
      </w:r>
      <w:r w:rsidRPr="00F36D62">
        <w:rPr>
          <w:rFonts w:ascii="Garamond" w:hAnsi="Garamond"/>
        </w:rPr>
        <w:t xml:space="preserve">], p. 318; similares, </w:t>
      </w:r>
      <w:r w:rsidRPr="00F36D62">
        <w:rPr>
          <w:rFonts w:ascii="Garamond" w:hAnsi="Garamond"/>
          <w:smallCaps/>
          <w:lang w:val="es-CL"/>
        </w:rPr>
        <w:t>Sirks</w:t>
      </w:r>
      <w:r w:rsidRPr="00F36D62">
        <w:rPr>
          <w:rFonts w:ascii="Garamond" w:hAnsi="Garamond"/>
          <w:lang w:val="es-CL"/>
        </w:rPr>
        <w:t xml:space="preserve">, </w:t>
      </w:r>
      <w:proofErr w:type="spellStart"/>
      <w:r w:rsidRPr="00F36D62">
        <w:rPr>
          <w:rFonts w:ascii="Garamond" w:hAnsi="Garamond"/>
          <w:lang w:val="es-CL"/>
        </w:rPr>
        <w:t>A.J.B</w:t>
      </w:r>
      <w:proofErr w:type="spellEnd"/>
      <w:r w:rsidRPr="00F36D62">
        <w:rPr>
          <w:rFonts w:ascii="Garamond" w:hAnsi="Garamond"/>
          <w:lang w:val="es-CL"/>
        </w:rPr>
        <w:t xml:space="preserve">., Furtum </w:t>
      </w:r>
      <w:r w:rsidRPr="00F36D62">
        <w:rPr>
          <w:rFonts w:ascii="Garamond" w:hAnsi="Garamond"/>
          <w:i/>
          <w:lang w:val="es-CL"/>
        </w:rPr>
        <w:t>and</w:t>
      </w:r>
      <w:r w:rsidRPr="00F36D62">
        <w:rPr>
          <w:rFonts w:ascii="Garamond" w:hAnsi="Garamond"/>
          <w:lang w:val="es-CL"/>
        </w:rPr>
        <w:t xml:space="preserve"> manus / potestas, en </w:t>
      </w:r>
      <w:r w:rsidRPr="00F36D62">
        <w:rPr>
          <w:rFonts w:ascii="Garamond" w:hAnsi="Garamond"/>
          <w:i/>
          <w:lang w:val="es-CL"/>
        </w:rPr>
        <w:t>TR</w:t>
      </w:r>
      <w:r w:rsidRPr="00F36D62">
        <w:rPr>
          <w:rFonts w:ascii="Garamond" w:hAnsi="Garamond"/>
          <w:lang w:val="es-CL"/>
        </w:rPr>
        <w:t>, 81 [2013], 3-4,</w:t>
      </w:r>
      <w:r w:rsidRPr="00F36D62">
        <w:rPr>
          <w:rFonts w:ascii="Garamond" w:hAnsi="Garamond"/>
          <w:i/>
          <w:lang w:val="es-CL"/>
        </w:rPr>
        <w:t xml:space="preserve"> </w:t>
      </w:r>
      <w:r w:rsidRPr="00F36D62">
        <w:rPr>
          <w:rFonts w:ascii="Garamond" w:hAnsi="Garamond"/>
          <w:lang w:val="es-CL"/>
        </w:rPr>
        <w:t xml:space="preserve">pp. 473, 476; </w:t>
      </w:r>
      <w:r w:rsidRPr="00F36D62">
        <w:rPr>
          <w:rFonts w:ascii="Garamond" w:hAnsi="Garamond"/>
          <w:smallCaps/>
        </w:rPr>
        <w:t>Burillo</w:t>
      </w:r>
      <w:r w:rsidRPr="00F36D62">
        <w:rPr>
          <w:rFonts w:ascii="Garamond" w:hAnsi="Garamond"/>
        </w:rPr>
        <w:t xml:space="preserve">, Jesús, </w:t>
      </w:r>
      <w:r w:rsidRPr="00F36D62">
        <w:rPr>
          <w:rFonts w:ascii="Garamond" w:hAnsi="Garamond"/>
          <w:i/>
        </w:rPr>
        <w:t>La desprivatización del ‘furtum’ en el Derecho postclásico</w:t>
      </w:r>
      <w:r w:rsidRPr="00F36D62">
        <w:rPr>
          <w:rFonts w:ascii="Garamond" w:hAnsi="Garamond"/>
        </w:rPr>
        <w:t xml:space="preserve">, en </w:t>
      </w:r>
      <w:r w:rsidRPr="00F36D62">
        <w:rPr>
          <w:rFonts w:ascii="Garamond" w:hAnsi="Garamond"/>
          <w:i/>
        </w:rPr>
        <w:t>REHJ</w:t>
      </w:r>
      <w:r w:rsidRPr="00F36D62">
        <w:rPr>
          <w:rFonts w:ascii="Garamond" w:hAnsi="Garamond"/>
        </w:rPr>
        <w:t>, 7 [1982],</w:t>
      </w:r>
      <w:r w:rsidRPr="00F36D62">
        <w:rPr>
          <w:rFonts w:ascii="Garamond" w:hAnsi="Garamond"/>
          <w:lang w:val="es-CL"/>
        </w:rPr>
        <w:t xml:space="preserve"> p. 15).</w:t>
      </w:r>
    </w:p>
  </w:footnote>
  <w:footnote w:id="92">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Así,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pp. 231, destacando que el </w:t>
      </w:r>
      <w:r w:rsidRPr="00F36D62">
        <w:rPr>
          <w:rFonts w:ascii="Garamond" w:hAnsi="Garamond"/>
          <w:i/>
          <w:lang w:val="es-CL"/>
        </w:rPr>
        <w:t>crimen</w:t>
      </w:r>
      <w:r w:rsidRPr="00F36D62">
        <w:rPr>
          <w:rFonts w:ascii="Garamond" w:hAnsi="Garamond"/>
          <w:lang w:val="es-CL"/>
        </w:rPr>
        <w:t xml:space="preserve"> recibía sanciones corporales o pecuniarias en beneficio de la colectividad (p. 232).</w:t>
      </w:r>
    </w:p>
  </w:footnote>
  <w:footnote w:id="93">
    <w:p w:rsidR="00306473" w:rsidRPr="00F36D62" w:rsidRDefault="00306473" w:rsidP="00E229F1">
      <w:pPr>
        <w:rPr>
          <w:sz w:val="20"/>
          <w:szCs w:val="20"/>
          <w:lang w:val="es-CL"/>
        </w:rPr>
      </w:pPr>
      <w:r w:rsidRPr="00F36D62">
        <w:rPr>
          <w:rStyle w:val="Refdenotaalpie"/>
          <w:rFonts w:ascii="Garamond" w:hAnsi="Garamond"/>
          <w:sz w:val="20"/>
          <w:szCs w:val="20"/>
        </w:rPr>
        <w:footnoteRef/>
      </w:r>
      <w:r w:rsidRPr="00F36D62">
        <w:rPr>
          <w:rFonts w:ascii="Garamond" w:hAnsi="Garamond"/>
          <w:sz w:val="20"/>
          <w:szCs w:val="20"/>
        </w:rPr>
        <w:t xml:space="preserve"> </w:t>
      </w:r>
      <w:r w:rsidRPr="00F36D62">
        <w:rPr>
          <w:rFonts w:ascii="Garamond" w:hAnsi="Garamond"/>
          <w:sz w:val="20"/>
          <w:szCs w:val="20"/>
          <w:lang w:val="es-CL"/>
        </w:rPr>
        <w:t xml:space="preserve">Así, </w:t>
      </w:r>
      <w:r w:rsidRPr="00F36D62">
        <w:rPr>
          <w:rFonts w:ascii="Garamond" w:hAnsi="Garamond"/>
          <w:smallCaps/>
          <w:sz w:val="20"/>
          <w:szCs w:val="20"/>
          <w:lang w:val="es-CL"/>
        </w:rPr>
        <w:t>Guzmán</w:t>
      </w:r>
      <w:r w:rsidRPr="00F36D62">
        <w:rPr>
          <w:rFonts w:ascii="Garamond" w:hAnsi="Garamond"/>
          <w:sz w:val="20"/>
          <w:szCs w:val="20"/>
          <w:lang w:val="es-CL"/>
        </w:rPr>
        <w:t xml:space="preserve">, cit. (n. </w:t>
      </w:r>
      <w:r w:rsidRPr="00F36D62">
        <w:rPr>
          <w:rFonts w:ascii="Garamond" w:hAnsi="Garamond"/>
          <w:sz w:val="20"/>
          <w:szCs w:val="20"/>
          <w:lang w:val="es-CL"/>
        </w:rPr>
        <w:fldChar w:fldCharType="begin"/>
      </w:r>
      <w:r w:rsidRPr="00F36D62">
        <w:rPr>
          <w:rFonts w:ascii="Garamond" w:hAnsi="Garamond"/>
          <w:sz w:val="20"/>
          <w:szCs w:val="20"/>
          <w:lang w:val="es-CL"/>
        </w:rPr>
        <w:instrText xml:space="preserve"> NOTEREF _Ref7387440 \h  \* MERGEFORMAT </w:instrText>
      </w:r>
      <w:r w:rsidRPr="00F36D62">
        <w:rPr>
          <w:rFonts w:ascii="Garamond" w:hAnsi="Garamond"/>
          <w:sz w:val="20"/>
          <w:szCs w:val="20"/>
          <w:lang w:val="es-CL"/>
        </w:rPr>
      </w:r>
      <w:r w:rsidRPr="00F36D62">
        <w:rPr>
          <w:rFonts w:ascii="Garamond" w:hAnsi="Garamond"/>
          <w:sz w:val="20"/>
          <w:szCs w:val="20"/>
          <w:lang w:val="es-CL"/>
        </w:rPr>
        <w:fldChar w:fldCharType="separate"/>
      </w:r>
      <w:r w:rsidRPr="00F36D62">
        <w:rPr>
          <w:rFonts w:ascii="Garamond" w:hAnsi="Garamond"/>
          <w:sz w:val="20"/>
          <w:szCs w:val="20"/>
          <w:lang w:val="es-CL"/>
        </w:rPr>
        <w:t>91</w:t>
      </w:r>
      <w:r w:rsidRPr="00F36D62">
        <w:rPr>
          <w:rFonts w:ascii="Garamond" w:hAnsi="Garamond"/>
          <w:sz w:val="20"/>
          <w:szCs w:val="20"/>
          <w:lang w:val="es-CL"/>
        </w:rPr>
        <w:fldChar w:fldCharType="end"/>
      </w:r>
      <w:r w:rsidRPr="00F36D62">
        <w:rPr>
          <w:rFonts w:ascii="Garamond" w:hAnsi="Garamond"/>
          <w:sz w:val="20"/>
          <w:szCs w:val="20"/>
          <w:lang w:val="es-CL"/>
        </w:rPr>
        <w:t xml:space="preserve">), II, p. 232; </w:t>
      </w:r>
      <w:r w:rsidRPr="00F36D62">
        <w:rPr>
          <w:rFonts w:ascii="Garamond" w:hAnsi="Garamond"/>
          <w:smallCaps/>
          <w:sz w:val="20"/>
          <w:szCs w:val="20"/>
          <w:lang w:val="es-CL"/>
        </w:rPr>
        <w:t>Zimmermann</w:t>
      </w:r>
      <w:r w:rsidRPr="00F36D62">
        <w:rPr>
          <w:rFonts w:ascii="Garamond" w:hAnsi="Garamond"/>
          <w:sz w:val="20"/>
          <w:szCs w:val="20"/>
          <w:lang w:val="es-CL"/>
        </w:rPr>
        <w:t xml:space="preserve">, cit. (n. </w:t>
      </w:r>
      <w:r w:rsidRPr="00F36D62">
        <w:rPr>
          <w:rFonts w:ascii="Garamond" w:hAnsi="Garamond"/>
          <w:sz w:val="20"/>
          <w:szCs w:val="20"/>
          <w:lang w:val="es-CL"/>
        </w:rPr>
        <w:fldChar w:fldCharType="begin"/>
      </w:r>
      <w:r w:rsidRPr="00F36D62">
        <w:rPr>
          <w:rFonts w:ascii="Garamond" w:hAnsi="Garamond"/>
          <w:sz w:val="20"/>
          <w:szCs w:val="20"/>
          <w:lang w:val="es-CL"/>
        </w:rPr>
        <w:instrText xml:space="preserve"> NOTEREF _Ref7387440 \h  \* MERGEFORMAT </w:instrText>
      </w:r>
      <w:r w:rsidRPr="00F36D62">
        <w:rPr>
          <w:rFonts w:ascii="Garamond" w:hAnsi="Garamond"/>
          <w:sz w:val="20"/>
          <w:szCs w:val="20"/>
          <w:lang w:val="es-CL"/>
        </w:rPr>
      </w:r>
      <w:r w:rsidRPr="00F36D62">
        <w:rPr>
          <w:rFonts w:ascii="Garamond" w:hAnsi="Garamond"/>
          <w:sz w:val="20"/>
          <w:szCs w:val="20"/>
          <w:lang w:val="es-CL"/>
        </w:rPr>
        <w:fldChar w:fldCharType="separate"/>
      </w:r>
      <w:r w:rsidRPr="00F36D62">
        <w:rPr>
          <w:rFonts w:ascii="Garamond" w:hAnsi="Garamond"/>
          <w:sz w:val="20"/>
          <w:szCs w:val="20"/>
          <w:lang w:val="es-CL"/>
        </w:rPr>
        <w:t>91</w:t>
      </w:r>
      <w:r w:rsidRPr="00F36D62">
        <w:rPr>
          <w:rFonts w:ascii="Garamond" w:hAnsi="Garamond"/>
          <w:sz w:val="20"/>
          <w:szCs w:val="20"/>
          <w:lang w:val="es-CL"/>
        </w:rPr>
        <w:fldChar w:fldCharType="end"/>
      </w:r>
      <w:r w:rsidRPr="00F36D62">
        <w:rPr>
          <w:rFonts w:ascii="Garamond" w:hAnsi="Garamond"/>
          <w:sz w:val="20"/>
          <w:szCs w:val="20"/>
          <w:lang w:val="es-CL"/>
        </w:rPr>
        <w:t xml:space="preserve">), p. 918. Los </w:t>
      </w:r>
      <w:proofErr w:type="spellStart"/>
      <w:r w:rsidRPr="00F36D62">
        <w:rPr>
          <w:rFonts w:ascii="Garamond" w:hAnsi="Garamond"/>
          <w:i/>
          <w:sz w:val="20"/>
          <w:szCs w:val="20"/>
          <w:lang w:val="es-CL"/>
        </w:rPr>
        <w:t>crimenes</w:t>
      </w:r>
      <w:proofErr w:type="spellEnd"/>
      <w:r w:rsidRPr="00F36D62">
        <w:rPr>
          <w:rFonts w:ascii="Garamond" w:hAnsi="Garamond"/>
          <w:sz w:val="20"/>
          <w:szCs w:val="20"/>
          <w:lang w:val="es-CL"/>
        </w:rPr>
        <w:t xml:space="preserve"> estaban sujetos a una jurisdicción y a un procedimiento público; cf. </w:t>
      </w:r>
      <w:r w:rsidRPr="00F36D62">
        <w:rPr>
          <w:rFonts w:ascii="Garamond" w:hAnsi="Garamond"/>
          <w:smallCaps/>
          <w:sz w:val="20"/>
          <w:szCs w:val="20"/>
          <w:lang w:val="es-CL"/>
        </w:rPr>
        <w:t>Guzmán</w:t>
      </w:r>
      <w:r w:rsidRPr="00F36D62">
        <w:rPr>
          <w:rFonts w:ascii="Garamond" w:hAnsi="Garamond"/>
          <w:sz w:val="20"/>
          <w:szCs w:val="20"/>
          <w:lang w:val="es-CL"/>
        </w:rPr>
        <w:t xml:space="preserve">, cit. (n. </w:t>
      </w:r>
      <w:r w:rsidRPr="00F36D62">
        <w:rPr>
          <w:rFonts w:ascii="Garamond" w:hAnsi="Garamond"/>
          <w:sz w:val="20"/>
          <w:szCs w:val="20"/>
          <w:lang w:val="es-CL"/>
        </w:rPr>
        <w:fldChar w:fldCharType="begin"/>
      </w:r>
      <w:r w:rsidRPr="00F36D62">
        <w:rPr>
          <w:rFonts w:ascii="Garamond" w:hAnsi="Garamond"/>
          <w:sz w:val="20"/>
          <w:szCs w:val="20"/>
          <w:lang w:val="es-CL"/>
        </w:rPr>
        <w:instrText xml:space="preserve"> NOTEREF _Ref7387440 \h  \* MERGEFORMAT </w:instrText>
      </w:r>
      <w:r w:rsidRPr="00F36D62">
        <w:rPr>
          <w:rFonts w:ascii="Garamond" w:hAnsi="Garamond"/>
          <w:sz w:val="20"/>
          <w:szCs w:val="20"/>
          <w:lang w:val="es-CL"/>
        </w:rPr>
      </w:r>
      <w:r w:rsidRPr="00F36D62">
        <w:rPr>
          <w:rFonts w:ascii="Garamond" w:hAnsi="Garamond"/>
          <w:sz w:val="20"/>
          <w:szCs w:val="20"/>
          <w:lang w:val="es-CL"/>
        </w:rPr>
        <w:fldChar w:fldCharType="separate"/>
      </w:r>
      <w:r w:rsidRPr="00F36D62">
        <w:rPr>
          <w:rFonts w:ascii="Garamond" w:hAnsi="Garamond"/>
          <w:sz w:val="20"/>
          <w:szCs w:val="20"/>
          <w:lang w:val="es-CL"/>
        </w:rPr>
        <w:t>91</w:t>
      </w:r>
      <w:r w:rsidRPr="00F36D62">
        <w:rPr>
          <w:rFonts w:ascii="Garamond" w:hAnsi="Garamond"/>
          <w:sz w:val="20"/>
          <w:szCs w:val="20"/>
          <w:lang w:val="es-CL"/>
        </w:rPr>
        <w:fldChar w:fldCharType="end"/>
      </w:r>
      <w:r w:rsidRPr="00F36D62">
        <w:rPr>
          <w:rFonts w:ascii="Garamond" w:hAnsi="Garamond"/>
          <w:sz w:val="20"/>
          <w:szCs w:val="20"/>
          <w:lang w:val="es-CL"/>
        </w:rPr>
        <w:t xml:space="preserve">), II, p. 231; </w:t>
      </w:r>
      <w:r w:rsidRPr="00F36D62">
        <w:rPr>
          <w:rFonts w:ascii="Garamond" w:hAnsi="Garamond"/>
          <w:smallCaps/>
          <w:sz w:val="20"/>
          <w:szCs w:val="20"/>
          <w:lang w:val="es-CL"/>
        </w:rPr>
        <w:t>Zimmermann</w:t>
      </w:r>
      <w:r w:rsidRPr="00F36D62">
        <w:rPr>
          <w:rFonts w:ascii="Garamond" w:hAnsi="Garamond"/>
          <w:sz w:val="20"/>
          <w:szCs w:val="20"/>
          <w:lang w:val="es-CL"/>
        </w:rPr>
        <w:t xml:space="preserve">, cit. (n. </w:t>
      </w:r>
      <w:r w:rsidRPr="00F36D62">
        <w:rPr>
          <w:rFonts w:ascii="Garamond" w:hAnsi="Garamond"/>
          <w:sz w:val="20"/>
          <w:szCs w:val="20"/>
          <w:lang w:val="es-CL"/>
        </w:rPr>
        <w:fldChar w:fldCharType="begin"/>
      </w:r>
      <w:r w:rsidRPr="00F36D62">
        <w:rPr>
          <w:rFonts w:ascii="Garamond" w:hAnsi="Garamond"/>
          <w:sz w:val="20"/>
          <w:szCs w:val="20"/>
          <w:lang w:val="es-CL"/>
        </w:rPr>
        <w:instrText xml:space="preserve"> NOTEREF _Ref7387440 \h  \* MERGEFORMAT </w:instrText>
      </w:r>
      <w:r w:rsidRPr="00F36D62">
        <w:rPr>
          <w:rFonts w:ascii="Garamond" w:hAnsi="Garamond"/>
          <w:sz w:val="20"/>
          <w:szCs w:val="20"/>
          <w:lang w:val="es-CL"/>
        </w:rPr>
      </w:r>
      <w:r w:rsidRPr="00F36D62">
        <w:rPr>
          <w:rFonts w:ascii="Garamond" w:hAnsi="Garamond"/>
          <w:sz w:val="20"/>
          <w:szCs w:val="20"/>
          <w:lang w:val="es-CL"/>
        </w:rPr>
        <w:fldChar w:fldCharType="separate"/>
      </w:r>
      <w:r w:rsidRPr="00F36D62">
        <w:rPr>
          <w:rFonts w:ascii="Garamond" w:hAnsi="Garamond"/>
          <w:sz w:val="20"/>
          <w:szCs w:val="20"/>
          <w:lang w:val="es-CL"/>
        </w:rPr>
        <w:t>91</w:t>
      </w:r>
      <w:r w:rsidRPr="00F36D62">
        <w:rPr>
          <w:rFonts w:ascii="Garamond" w:hAnsi="Garamond"/>
          <w:sz w:val="20"/>
          <w:szCs w:val="20"/>
          <w:lang w:val="es-CL"/>
        </w:rPr>
        <w:fldChar w:fldCharType="end"/>
      </w:r>
      <w:r w:rsidRPr="00F36D62">
        <w:rPr>
          <w:rFonts w:ascii="Garamond" w:hAnsi="Garamond"/>
          <w:sz w:val="20"/>
          <w:szCs w:val="20"/>
          <w:lang w:val="es-CL"/>
        </w:rPr>
        <w:t xml:space="preserve">), pp. 917-918. </w:t>
      </w:r>
    </w:p>
  </w:footnote>
  <w:footnote w:id="94">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Según explica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II, p. 232,</w:t>
      </w:r>
      <w:r w:rsidRPr="00F36D62">
        <w:rPr>
          <w:rFonts w:ascii="Garamond" w:hAnsi="Garamond"/>
        </w:rPr>
        <w:t xml:space="preserve"> “[n]o cualquier ilícito ofensivo del interés particular constituye sin embargo un </w:t>
      </w:r>
      <w:proofErr w:type="spellStart"/>
      <w:r w:rsidRPr="00F36D62">
        <w:rPr>
          <w:rFonts w:ascii="Garamond" w:hAnsi="Garamond"/>
          <w:i/>
        </w:rPr>
        <w:t>delictum</w:t>
      </w:r>
      <w:proofErr w:type="spellEnd"/>
      <w:r w:rsidRPr="00F36D62">
        <w:rPr>
          <w:rFonts w:ascii="Garamond" w:hAnsi="Garamond"/>
        </w:rPr>
        <w:t xml:space="preserve">, pues […] se hace merecedora de </w:t>
      </w:r>
      <w:r w:rsidRPr="00F36D62">
        <w:rPr>
          <w:rFonts w:ascii="Garamond" w:hAnsi="Garamond"/>
          <w:i/>
        </w:rPr>
        <w:t>poena</w:t>
      </w:r>
      <w:r w:rsidRPr="00F36D62">
        <w:rPr>
          <w:rFonts w:ascii="Garamond" w:hAnsi="Garamond"/>
        </w:rPr>
        <w:t xml:space="preserve"> tan sólo aquella conducta previamente descrita a tal efecto en una </w:t>
      </w:r>
      <w:r w:rsidRPr="00F36D62">
        <w:rPr>
          <w:rFonts w:ascii="Garamond" w:hAnsi="Garamond"/>
          <w:i/>
        </w:rPr>
        <w:t>lex publica</w:t>
      </w:r>
      <w:r w:rsidRPr="00F36D62">
        <w:rPr>
          <w:rFonts w:ascii="Garamond" w:hAnsi="Garamond"/>
        </w:rPr>
        <w:t xml:space="preserve"> o en el </w:t>
      </w:r>
      <w:proofErr w:type="spellStart"/>
      <w:r w:rsidRPr="00F36D62">
        <w:rPr>
          <w:rFonts w:ascii="Garamond" w:hAnsi="Garamond"/>
          <w:i/>
        </w:rPr>
        <w:t>edictum</w:t>
      </w:r>
      <w:proofErr w:type="spellEnd"/>
      <w:r w:rsidRPr="00F36D62">
        <w:rPr>
          <w:rFonts w:ascii="Garamond" w:hAnsi="Garamond"/>
          <w:i/>
        </w:rPr>
        <w:t xml:space="preserve"> </w:t>
      </w:r>
      <w:proofErr w:type="spellStart"/>
      <w:r w:rsidRPr="00F36D62">
        <w:rPr>
          <w:rFonts w:ascii="Garamond" w:hAnsi="Garamond"/>
          <w:i/>
        </w:rPr>
        <w:t>praetoris</w:t>
      </w:r>
      <w:proofErr w:type="spellEnd"/>
      <w:r w:rsidRPr="00F36D62">
        <w:rPr>
          <w:rFonts w:ascii="Garamond" w:hAnsi="Garamond"/>
        </w:rPr>
        <w:t>. Los delitos privados, pues, son civiles o pretorios”.</w:t>
      </w:r>
    </w:p>
  </w:footnote>
  <w:footnote w:id="95">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Según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xml:space="preserve">), II, p. 6, en “el sistema romano más antiguo que nosotros conocemos, singularmente el de las Doce Tablas, sólo puede ser </w:t>
      </w:r>
      <w:proofErr w:type="spellStart"/>
      <w:r w:rsidRPr="00F36D62">
        <w:rPr>
          <w:rFonts w:ascii="Garamond" w:hAnsi="Garamond"/>
          <w:lang w:val="es-CL"/>
        </w:rPr>
        <w:t>incluídas</w:t>
      </w:r>
      <w:proofErr w:type="spellEnd"/>
      <w:r w:rsidRPr="00F36D62">
        <w:rPr>
          <w:rFonts w:ascii="Garamond" w:hAnsi="Garamond"/>
          <w:lang w:val="es-CL"/>
        </w:rPr>
        <w:t xml:space="preserve"> en el Derecho penal verdaderamente tal cuatro clases bien determinadas de delitos, </w:t>
      </w:r>
      <w:proofErr w:type="spellStart"/>
      <w:r w:rsidRPr="00F36D62">
        <w:rPr>
          <w:rFonts w:ascii="Garamond" w:hAnsi="Garamond"/>
          <w:lang w:val="es-CL"/>
        </w:rPr>
        <w:t>á</w:t>
      </w:r>
      <w:proofErr w:type="spellEnd"/>
      <w:r w:rsidRPr="00F36D62">
        <w:rPr>
          <w:rFonts w:ascii="Garamond" w:hAnsi="Garamond"/>
          <w:lang w:val="es-CL"/>
        </w:rPr>
        <w:t xml:space="preserve"> saber: / 1</w:t>
      </w:r>
      <w:proofErr w:type="gramStart"/>
      <w:r w:rsidRPr="00F36D62">
        <w:rPr>
          <w:rFonts w:ascii="Garamond" w:hAnsi="Garamond"/>
          <w:lang w:val="es-CL"/>
        </w:rPr>
        <w:t>.ª</w:t>
      </w:r>
      <w:proofErr w:type="gramEnd"/>
      <w:r w:rsidRPr="00F36D62">
        <w:rPr>
          <w:rFonts w:ascii="Garamond" w:hAnsi="Garamond"/>
          <w:lang w:val="es-CL"/>
        </w:rPr>
        <w:t xml:space="preserve"> </w:t>
      </w:r>
      <w:proofErr w:type="spellStart"/>
      <w:r w:rsidRPr="00F36D62">
        <w:rPr>
          <w:rFonts w:ascii="Garamond" w:hAnsi="Garamond"/>
          <w:i/>
          <w:lang w:val="es-CL"/>
        </w:rPr>
        <w:t>Perduellio</w:t>
      </w:r>
      <w:proofErr w:type="spellEnd"/>
      <w:r w:rsidRPr="00F36D62">
        <w:rPr>
          <w:rFonts w:ascii="Garamond" w:hAnsi="Garamond"/>
          <w:lang w:val="es-CL"/>
        </w:rPr>
        <w:t>. / 2</w:t>
      </w:r>
      <w:proofErr w:type="gramStart"/>
      <w:r w:rsidRPr="00F36D62">
        <w:rPr>
          <w:rFonts w:ascii="Garamond" w:hAnsi="Garamond"/>
          <w:lang w:val="es-CL"/>
        </w:rPr>
        <w:t>.ª</w:t>
      </w:r>
      <w:proofErr w:type="gramEnd"/>
      <w:r w:rsidRPr="00F36D62">
        <w:rPr>
          <w:rFonts w:ascii="Garamond" w:hAnsi="Garamond"/>
          <w:lang w:val="es-CL"/>
        </w:rPr>
        <w:t xml:space="preserve"> </w:t>
      </w:r>
      <w:r w:rsidRPr="00F36D62">
        <w:rPr>
          <w:rFonts w:ascii="Garamond" w:hAnsi="Garamond"/>
          <w:i/>
          <w:lang w:val="es-CL"/>
        </w:rPr>
        <w:t>Parricidium</w:t>
      </w:r>
      <w:r w:rsidRPr="00F36D62">
        <w:rPr>
          <w:rFonts w:ascii="Garamond" w:hAnsi="Garamond"/>
          <w:lang w:val="es-CL"/>
        </w:rPr>
        <w:t>. / 3</w:t>
      </w:r>
      <w:proofErr w:type="gramStart"/>
      <w:r w:rsidRPr="00F36D62">
        <w:rPr>
          <w:rFonts w:ascii="Garamond" w:hAnsi="Garamond"/>
          <w:lang w:val="es-CL"/>
        </w:rPr>
        <w:t>.ª</w:t>
      </w:r>
      <w:proofErr w:type="gramEnd"/>
      <w:r w:rsidRPr="00F36D62">
        <w:rPr>
          <w:rFonts w:ascii="Garamond" w:hAnsi="Garamond"/>
          <w:lang w:val="es-CL"/>
        </w:rPr>
        <w:t xml:space="preserve"> </w:t>
      </w:r>
      <w:r w:rsidRPr="00F36D62">
        <w:rPr>
          <w:rFonts w:ascii="Garamond" w:hAnsi="Garamond"/>
          <w:i/>
          <w:lang w:val="es-CL"/>
        </w:rPr>
        <w:t>Furtum</w:t>
      </w:r>
      <w:r w:rsidRPr="00F36D62">
        <w:rPr>
          <w:rFonts w:ascii="Garamond" w:hAnsi="Garamond"/>
          <w:lang w:val="es-CL"/>
        </w:rPr>
        <w:t>. / 4</w:t>
      </w:r>
      <w:proofErr w:type="gramStart"/>
      <w:r w:rsidRPr="00F36D62">
        <w:rPr>
          <w:rFonts w:ascii="Garamond" w:hAnsi="Garamond"/>
          <w:lang w:val="es-CL"/>
        </w:rPr>
        <w:t>.ª</w:t>
      </w:r>
      <w:proofErr w:type="gramEnd"/>
      <w:r w:rsidRPr="00F36D62">
        <w:rPr>
          <w:rFonts w:ascii="Garamond" w:hAnsi="Garamond"/>
          <w:lang w:val="es-CL"/>
        </w:rPr>
        <w:t xml:space="preserve"> </w:t>
      </w:r>
      <w:r w:rsidRPr="00F36D62">
        <w:rPr>
          <w:rFonts w:ascii="Garamond" w:hAnsi="Garamond"/>
          <w:i/>
          <w:lang w:val="es-CL"/>
        </w:rPr>
        <w:t>Injuria</w:t>
      </w:r>
      <w:r w:rsidRPr="00F36D62">
        <w:rPr>
          <w:rFonts w:ascii="Garamond" w:hAnsi="Garamond"/>
          <w:lang w:val="es-CL"/>
        </w:rPr>
        <w:t xml:space="preserve">”. </w:t>
      </w:r>
    </w:p>
  </w:footnote>
  <w:footnote w:id="96">
    <w:p w:rsidR="00306473" w:rsidRPr="00F36D62" w:rsidRDefault="00306473" w:rsidP="00E229F1">
      <w:pPr>
        <w:pStyle w:val="Textonotapie"/>
        <w:rPr>
          <w:rFonts w:ascii="Garamond" w:hAnsi="Garamond"/>
          <w:lang w:val="de-DE"/>
        </w:rPr>
      </w:pPr>
      <w:r w:rsidRPr="00F36D62">
        <w:rPr>
          <w:rStyle w:val="Refdenotaalpie"/>
          <w:rFonts w:ascii="Garamond" w:hAnsi="Garamond"/>
        </w:rPr>
        <w:footnoteRef/>
      </w:r>
      <w:r w:rsidRPr="00F36D62">
        <w:rPr>
          <w:rFonts w:ascii="Garamond" w:hAnsi="Garamond"/>
          <w:lang w:val="de-DE"/>
        </w:rPr>
        <w:t xml:space="preserve"> </w:t>
      </w:r>
      <w:r w:rsidRPr="00F36D62">
        <w:rPr>
          <w:rFonts w:ascii="Garamond" w:hAnsi="Garamond"/>
          <w:lang w:val="de-DE"/>
        </w:rPr>
        <w:t xml:space="preserve">Así, </w:t>
      </w:r>
      <w:r w:rsidRPr="00F36D62">
        <w:rPr>
          <w:rFonts w:ascii="Garamond" w:hAnsi="Garamond"/>
          <w:smallCaps/>
          <w:lang w:val="de-DE"/>
        </w:rPr>
        <w:t>Zimmermann</w:t>
      </w:r>
      <w:r w:rsidRPr="00F36D62">
        <w:rPr>
          <w:rFonts w:ascii="Garamond" w:hAnsi="Garamond"/>
          <w:lang w:val="de-DE"/>
        </w:rPr>
        <w:t xml:space="preserve">, cit. (n. </w:t>
      </w:r>
      <w:r w:rsidRPr="00F36D62">
        <w:rPr>
          <w:rFonts w:ascii="Garamond" w:hAnsi="Garamond"/>
          <w:lang w:val="es-CL"/>
        </w:rPr>
        <w:fldChar w:fldCharType="begin"/>
      </w:r>
      <w:r w:rsidRPr="00F36D62">
        <w:rPr>
          <w:rFonts w:ascii="Garamond" w:hAnsi="Garamond"/>
          <w:lang w:val="de-DE"/>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de-DE"/>
        </w:rPr>
        <w:t>91</w:t>
      </w:r>
      <w:r w:rsidRPr="00F36D62">
        <w:rPr>
          <w:rFonts w:ascii="Garamond" w:hAnsi="Garamond"/>
          <w:lang w:val="es-CL"/>
        </w:rPr>
        <w:fldChar w:fldCharType="end"/>
      </w:r>
      <w:r w:rsidRPr="00F36D62">
        <w:rPr>
          <w:rFonts w:ascii="Garamond" w:hAnsi="Garamond"/>
          <w:lang w:val="de-DE"/>
        </w:rPr>
        <w:t xml:space="preserve">), p. 927 </w:t>
      </w:r>
    </w:p>
  </w:footnote>
  <w:footnote w:id="97">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Con detalle, por toda la evolución,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928-929. Por la evolución posterior,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18-20. </w:t>
      </w:r>
    </w:p>
  </w:footnote>
  <w:footnote w:id="9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Así, </w:t>
      </w:r>
      <w:r w:rsidRPr="00F36D62">
        <w:rPr>
          <w:rFonts w:ascii="Garamond" w:hAnsi="Garamond"/>
          <w:smallCaps/>
          <w:lang w:val="it-IT"/>
        </w:rPr>
        <w:t>Albanese</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_Ref7387126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90</w:t>
      </w:r>
      <w:r w:rsidRPr="00F36D62">
        <w:rPr>
          <w:rFonts w:ascii="Garamond" w:hAnsi="Garamond"/>
        </w:rPr>
        <w:fldChar w:fldCharType="end"/>
      </w:r>
      <w:r w:rsidRPr="00F36D62">
        <w:rPr>
          <w:rFonts w:ascii="Garamond" w:hAnsi="Garamond"/>
          <w:lang w:val="it-IT"/>
        </w:rPr>
        <w:t xml:space="preserve">), p. 313; </w:t>
      </w:r>
      <w:r w:rsidRPr="00F36D62">
        <w:rPr>
          <w:rFonts w:ascii="Garamond" w:hAnsi="Garamond"/>
          <w:smallCaps/>
          <w:lang w:val="it-IT"/>
        </w:rPr>
        <w:t>Burillo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14. </w:t>
      </w:r>
      <w:r w:rsidRPr="00F36D62">
        <w:rPr>
          <w:rFonts w:ascii="Garamond" w:hAnsi="Garamond"/>
        </w:rPr>
        <w:t xml:space="preserve">Según </w:t>
      </w:r>
      <w:r w:rsidRPr="00F36D62">
        <w:rPr>
          <w:rFonts w:ascii="Garamond" w:hAnsi="Garamond"/>
          <w:smallCaps/>
          <w:lang w:val="es-CL"/>
        </w:rPr>
        <w:t>Sirks</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501-502, aunque es opinión común la existencia de un cambio entre las XII Tablas y la República tardía, su naturaleza discutida. Una tesis diferente en </w:t>
      </w:r>
      <w:r w:rsidRPr="00F36D62">
        <w:rPr>
          <w:rFonts w:ascii="Garamond" w:hAnsi="Garamond"/>
          <w:smallCaps/>
          <w:lang w:val="es-CL"/>
        </w:rPr>
        <w:t>Sirks</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w:t>
      </w:r>
      <w:r w:rsidRPr="00F36D62">
        <w:rPr>
          <w:rFonts w:ascii="Garamond" w:hAnsi="Garamond"/>
          <w:i/>
          <w:lang w:val="es-CL"/>
        </w:rPr>
        <w:t>passim</w:t>
      </w:r>
      <w:r w:rsidRPr="00F36D62">
        <w:rPr>
          <w:rFonts w:ascii="Garamond" w:hAnsi="Garamond"/>
          <w:lang w:val="es-CL"/>
        </w:rPr>
        <w:t xml:space="preserve">, postulando que, originalmente, el </w:t>
      </w:r>
      <w:r w:rsidRPr="00F36D62">
        <w:rPr>
          <w:rFonts w:ascii="Garamond" w:hAnsi="Garamond"/>
          <w:i/>
          <w:lang w:val="es-CL"/>
        </w:rPr>
        <w:t>furtum</w:t>
      </w:r>
      <w:r w:rsidRPr="00F36D62">
        <w:rPr>
          <w:rFonts w:ascii="Garamond" w:hAnsi="Garamond"/>
          <w:lang w:val="es-CL"/>
        </w:rPr>
        <w:t xml:space="preserve"> suponía la intrusión en las potestades del </w:t>
      </w:r>
      <w:r w:rsidRPr="00F36D62">
        <w:rPr>
          <w:rFonts w:ascii="Garamond" w:hAnsi="Garamond"/>
          <w:i/>
          <w:lang w:val="es-CL"/>
        </w:rPr>
        <w:t>pater familias</w:t>
      </w:r>
      <w:r w:rsidRPr="00F36D62">
        <w:rPr>
          <w:rFonts w:ascii="Garamond" w:hAnsi="Garamond"/>
          <w:lang w:val="es-CL"/>
        </w:rPr>
        <w:t xml:space="preserve"> con un contenido religioso. </w:t>
      </w:r>
    </w:p>
  </w:footnote>
  <w:footnote w:id="99">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Cf. </w:t>
      </w:r>
      <w:r w:rsidRPr="00F36D62">
        <w:rPr>
          <w:rFonts w:ascii="Garamond" w:hAnsi="Garamond"/>
          <w:smallCaps/>
          <w:lang w:val="it-IT"/>
        </w:rPr>
        <w:t>Albanese</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_Ref7387126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90</w:t>
      </w:r>
      <w:r w:rsidRPr="00F36D62">
        <w:rPr>
          <w:rFonts w:ascii="Garamond" w:hAnsi="Garamond"/>
        </w:rPr>
        <w:fldChar w:fldCharType="end"/>
      </w:r>
      <w:r w:rsidRPr="00F36D62">
        <w:rPr>
          <w:rFonts w:ascii="Garamond" w:hAnsi="Garamond"/>
          <w:lang w:val="it-IT"/>
        </w:rPr>
        <w:t xml:space="preserve">), p. 314; </w:t>
      </w:r>
      <w:r w:rsidRPr="00F36D62">
        <w:rPr>
          <w:rFonts w:ascii="Garamond" w:hAnsi="Garamond"/>
          <w:smallCaps/>
          <w:lang w:val="it-IT"/>
        </w:rPr>
        <w:t>Burillo</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w:t>
      </w:r>
      <w:r w:rsidRPr="00F36D62">
        <w:rPr>
          <w:rFonts w:ascii="Garamond" w:hAnsi="Garamond"/>
          <w:lang w:val="it-IT"/>
        </w:rPr>
        <w:t xml:space="preserve">p. 14. </w:t>
      </w:r>
    </w:p>
  </w:footnote>
  <w:footnote w:id="10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Así, </w:t>
      </w:r>
      <w:r w:rsidRPr="00F36D62">
        <w:rPr>
          <w:rFonts w:ascii="Garamond" w:hAnsi="Garamond"/>
          <w:smallCaps/>
          <w:lang w:val="it-IT"/>
        </w:rPr>
        <w:t>Albanese</w:t>
      </w:r>
      <w:r w:rsidRPr="00F36D62">
        <w:rPr>
          <w:rFonts w:ascii="Garamond" w:hAnsi="Garamond"/>
          <w:lang w:val="it-IT"/>
        </w:rPr>
        <w:t xml:space="preserve">, cit. (n. </w:t>
      </w:r>
      <w:r w:rsidRPr="00F36D62">
        <w:rPr>
          <w:rFonts w:ascii="Garamond" w:hAnsi="Garamond"/>
        </w:rPr>
        <w:fldChar w:fldCharType="begin"/>
      </w:r>
      <w:r w:rsidRPr="00F36D62">
        <w:rPr>
          <w:rFonts w:ascii="Garamond" w:hAnsi="Garamond"/>
          <w:lang w:val="it-IT"/>
        </w:rPr>
        <w:instrText xml:space="preserve"> NOTEREF _Ref7387126 \h  \* MERGEFORMAT </w:instrText>
      </w:r>
      <w:r w:rsidRPr="00F36D62">
        <w:rPr>
          <w:rFonts w:ascii="Garamond" w:hAnsi="Garamond"/>
        </w:rPr>
      </w:r>
      <w:r w:rsidRPr="00F36D62">
        <w:rPr>
          <w:rFonts w:ascii="Garamond" w:hAnsi="Garamond"/>
        </w:rPr>
        <w:fldChar w:fldCharType="separate"/>
      </w:r>
      <w:r w:rsidRPr="00F36D62">
        <w:rPr>
          <w:rFonts w:ascii="Garamond" w:hAnsi="Garamond"/>
          <w:lang w:val="it-IT"/>
        </w:rPr>
        <w:t>90</w:t>
      </w:r>
      <w:r w:rsidRPr="00F36D62">
        <w:rPr>
          <w:rFonts w:ascii="Garamond" w:hAnsi="Garamond"/>
        </w:rPr>
        <w:fldChar w:fldCharType="end"/>
      </w:r>
      <w:r w:rsidRPr="00F36D62">
        <w:rPr>
          <w:rFonts w:ascii="Garamond" w:hAnsi="Garamond"/>
          <w:lang w:val="it-IT"/>
        </w:rPr>
        <w:t xml:space="preserve">), pp. 315-317; </w:t>
      </w:r>
      <w:r w:rsidRPr="00F36D62">
        <w:rPr>
          <w:rFonts w:ascii="Garamond" w:hAnsi="Garamond"/>
          <w:smallCaps/>
          <w:lang w:val="it-IT"/>
        </w:rPr>
        <w:t>Sirks</w:t>
      </w:r>
      <w:r w:rsidRPr="00F36D62">
        <w:rPr>
          <w:rFonts w:ascii="Garamond" w:hAnsi="Garamond"/>
          <w:lang w:val="it-IT"/>
        </w:rPr>
        <w:t xml:space="preserve">, cit. (n. </w:t>
      </w:r>
      <w:r w:rsidRPr="00F36D62">
        <w:rPr>
          <w:rFonts w:ascii="Garamond" w:hAnsi="Garamond"/>
          <w:lang w:val="es-CL"/>
        </w:rPr>
        <w:fldChar w:fldCharType="begin"/>
      </w:r>
      <w:r w:rsidRPr="00F36D62">
        <w:rPr>
          <w:rFonts w:ascii="Garamond" w:hAnsi="Garamond"/>
          <w:lang w:val="it-IT"/>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91</w:t>
      </w:r>
      <w:r w:rsidRPr="00F36D62">
        <w:rPr>
          <w:rFonts w:ascii="Garamond" w:hAnsi="Garamond"/>
          <w:lang w:val="es-CL"/>
        </w:rPr>
        <w:fldChar w:fldCharType="end"/>
      </w:r>
      <w:r w:rsidRPr="00F36D62">
        <w:rPr>
          <w:rFonts w:ascii="Garamond" w:hAnsi="Garamond"/>
          <w:lang w:val="it-IT"/>
        </w:rPr>
        <w:t xml:space="preserve">), pp. 496-497; </w:t>
      </w:r>
      <w:r w:rsidRPr="00F36D62">
        <w:rPr>
          <w:rFonts w:ascii="Garamond" w:hAnsi="Garamond"/>
          <w:smallCaps/>
          <w:lang w:val="it-IT"/>
        </w:rPr>
        <w:t>Burillo</w:t>
      </w:r>
      <w:r w:rsidRPr="00F36D62">
        <w:rPr>
          <w:rFonts w:ascii="Garamond" w:hAnsi="Garamond"/>
          <w:lang w:val="it-IT"/>
        </w:rPr>
        <w:t xml:space="preserve">, cit. (n. </w:t>
      </w:r>
      <w:r w:rsidRPr="00F36D62">
        <w:rPr>
          <w:rFonts w:ascii="Garamond" w:hAnsi="Garamond"/>
          <w:lang w:val="es-CL"/>
        </w:rPr>
        <w:fldChar w:fldCharType="begin"/>
      </w:r>
      <w:r w:rsidRPr="00F36D62">
        <w:rPr>
          <w:rFonts w:ascii="Garamond" w:hAnsi="Garamond"/>
          <w:lang w:val="it-IT"/>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14.  </w:t>
      </w:r>
    </w:p>
  </w:footnote>
  <w:footnote w:id="10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pp. 14-15.</w:t>
      </w:r>
    </w:p>
  </w:footnote>
  <w:footnote w:id="102">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D. 47, 2, 1, 3. Según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pp. 14-15</w:t>
      </w:r>
      <w:r w:rsidRPr="00F36D62">
        <w:rPr>
          <w:rFonts w:ascii="Garamond" w:hAnsi="Garamond"/>
        </w:rPr>
        <w:t xml:space="preserve">, </w:t>
      </w:r>
      <w:r w:rsidRPr="00F36D62">
        <w:rPr>
          <w:rFonts w:ascii="Garamond" w:hAnsi="Garamond"/>
          <w:lang w:val="es-CL"/>
        </w:rPr>
        <w:t xml:space="preserve">esta definición </w:t>
      </w:r>
      <w:r w:rsidRPr="00F36D62">
        <w:rPr>
          <w:rFonts w:ascii="Garamond" w:hAnsi="Garamond"/>
        </w:rPr>
        <w:t xml:space="preserve">“bien podría reflejar el pensamiento de la última jurisprudencia clásica”; </w:t>
      </w:r>
      <w:r w:rsidRPr="00F36D62">
        <w:rPr>
          <w:rFonts w:ascii="Garamond" w:hAnsi="Garamond"/>
          <w:smallCaps/>
        </w:rPr>
        <w:t>Albanese</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_Ref7387126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90</w:t>
      </w:r>
      <w:r w:rsidRPr="00F36D62">
        <w:rPr>
          <w:rFonts w:ascii="Garamond" w:hAnsi="Garamond"/>
        </w:rPr>
        <w:fldChar w:fldCharType="end"/>
      </w:r>
      <w:r w:rsidRPr="00F36D62">
        <w:rPr>
          <w:rFonts w:ascii="Garamond" w:hAnsi="Garamond"/>
          <w:lang w:val="es-CL"/>
        </w:rPr>
        <w:t xml:space="preserve">), p. 317 destaca que es fruto del empeño secular; similar,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923 afirma que, a pesar de un posible origen posterior, no hay razón para suponer que no reflejara correctamente el desarrollo de entre los siglos II y III”. Una definición similar se contiene en las Institutas de Justiniano; </w:t>
      </w:r>
      <w:r w:rsidRPr="00F36D62">
        <w:rPr>
          <w:rFonts w:ascii="Garamond" w:hAnsi="Garamond"/>
          <w:i/>
          <w:lang w:val="es-CL"/>
        </w:rPr>
        <w:t>vid.</w:t>
      </w:r>
      <w:r w:rsidRPr="00F36D62">
        <w:rPr>
          <w:rFonts w:ascii="Garamond" w:hAnsi="Garamond"/>
          <w:lang w:val="es-CL"/>
        </w:rPr>
        <w:t xml:space="preserve">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15; y, especialmente, </w:t>
      </w:r>
      <w:r w:rsidRPr="00F36D62">
        <w:rPr>
          <w:rFonts w:ascii="Garamond" w:hAnsi="Garamond"/>
          <w:smallCaps/>
          <w:lang w:val="es-CL"/>
        </w:rPr>
        <w:t>Watson</w:t>
      </w:r>
      <w:r w:rsidRPr="00F36D62">
        <w:rPr>
          <w:rFonts w:ascii="Garamond" w:hAnsi="Garamond"/>
          <w:lang w:val="es-CL"/>
        </w:rPr>
        <w:t xml:space="preserve">, A., </w:t>
      </w:r>
      <w:proofErr w:type="spellStart"/>
      <w:r w:rsidRPr="00F36D62">
        <w:rPr>
          <w:rFonts w:ascii="Garamond" w:hAnsi="Garamond"/>
          <w:i/>
          <w:lang w:val="es-CL"/>
        </w:rPr>
        <w:t>The</w:t>
      </w:r>
      <w:proofErr w:type="spellEnd"/>
      <w:r w:rsidRPr="00F36D62">
        <w:rPr>
          <w:rFonts w:ascii="Garamond" w:hAnsi="Garamond"/>
          <w:i/>
          <w:lang w:val="es-CL"/>
        </w:rPr>
        <w:t xml:space="preserve"> </w:t>
      </w:r>
      <w:proofErr w:type="spellStart"/>
      <w:r w:rsidRPr="00F36D62">
        <w:rPr>
          <w:rFonts w:ascii="Garamond" w:hAnsi="Garamond"/>
          <w:i/>
          <w:lang w:val="es-CL"/>
        </w:rPr>
        <w:t>definition</w:t>
      </w:r>
      <w:proofErr w:type="spellEnd"/>
      <w:r w:rsidRPr="00F36D62">
        <w:rPr>
          <w:rFonts w:ascii="Garamond" w:hAnsi="Garamond"/>
          <w:i/>
          <w:lang w:val="es-CL"/>
        </w:rPr>
        <w:t xml:space="preserve"> of furtum and </w:t>
      </w:r>
      <w:proofErr w:type="spellStart"/>
      <w:r w:rsidRPr="00F36D62">
        <w:rPr>
          <w:rFonts w:ascii="Garamond" w:hAnsi="Garamond"/>
          <w:i/>
          <w:lang w:val="es-CL"/>
        </w:rPr>
        <w:t>the</w:t>
      </w:r>
      <w:proofErr w:type="spellEnd"/>
      <w:r w:rsidRPr="00F36D62">
        <w:rPr>
          <w:rFonts w:ascii="Garamond" w:hAnsi="Garamond"/>
          <w:i/>
          <w:lang w:val="es-CL"/>
        </w:rPr>
        <w:t xml:space="preserve"> </w:t>
      </w:r>
      <w:proofErr w:type="spellStart"/>
      <w:r w:rsidRPr="00F36D62">
        <w:rPr>
          <w:rFonts w:ascii="Garamond" w:hAnsi="Garamond"/>
          <w:i/>
          <w:lang w:val="es-CL"/>
        </w:rPr>
        <w:t>trichotomy</w:t>
      </w:r>
      <w:proofErr w:type="spellEnd"/>
      <w:r w:rsidRPr="00F36D62">
        <w:rPr>
          <w:rFonts w:ascii="Garamond" w:hAnsi="Garamond"/>
          <w:lang w:val="es-CL"/>
        </w:rPr>
        <w:t xml:space="preserve">, en </w:t>
      </w:r>
      <w:r w:rsidRPr="00F36D62">
        <w:rPr>
          <w:rFonts w:ascii="Garamond" w:hAnsi="Garamond"/>
          <w:i/>
          <w:lang w:val="es-CL"/>
        </w:rPr>
        <w:t>TR</w:t>
      </w:r>
      <w:r w:rsidRPr="00F36D62">
        <w:rPr>
          <w:rFonts w:ascii="Garamond" w:hAnsi="Garamond"/>
          <w:lang w:val="es-CL"/>
        </w:rPr>
        <w:t>, 28 (1960), 2, p. 197, ofreciendo (</w:t>
      </w:r>
      <w:r w:rsidRPr="00F36D62">
        <w:rPr>
          <w:rFonts w:ascii="Garamond" w:hAnsi="Garamond"/>
          <w:i/>
          <w:lang w:val="es-CL"/>
        </w:rPr>
        <w:t>passim</w:t>
      </w:r>
      <w:r w:rsidRPr="00F36D62">
        <w:rPr>
          <w:rFonts w:ascii="Garamond" w:hAnsi="Garamond"/>
          <w:lang w:val="es-CL"/>
        </w:rPr>
        <w:t xml:space="preserve">) un detallado análisis.  </w:t>
      </w:r>
    </w:p>
  </w:footnote>
  <w:footnote w:id="103">
    <w:p w:rsidR="00306473" w:rsidRPr="00F36D62" w:rsidRDefault="00306473" w:rsidP="00E229F1">
      <w:pPr>
        <w:pStyle w:val="Textonotapie"/>
        <w:rPr>
          <w:rFonts w:ascii="Garamond" w:hAnsi="Garamond"/>
          <w:lang w:val="en-US"/>
        </w:rPr>
      </w:pPr>
      <w:r w:rsidRPr="00F36D62">
        <w:rPr>
          <w:rStyle w:val="Refdenotaalpie"/>
          <w:rFonts w:ascii="Garamond" w:hAnsi="Garamond"/>
        </w:rPr>
        <w:footnoteRef/>
      </w:r>
      <w:r w:rsidRPr="00F36D62">
        <w:rPr>
          <w:rFonts w:ascii="Garamond" w:hAnsi="Garamond"/>
        </w:rPr>
        <w:t xml:space="preserve"> Con referencia al derecho alemán, </w:t>
      </w:r>
      <w:r w:rsidRPr="00F36D62">
        <w:rPr>
          <w:rFonts w:ascii="Garamond" w:hAnsi="Garamond"/>
          <w:i/>
        </w:rPr>
        <w:t>vid.</w:t>
      </w:r>
      <w:r w:rsidRPr="00F36D62">
        <w:rPr>
          <w:rFonts w:ascii="Garamond" w:hAnsi="Garamond"/>
        </w:rPr>
        <w:t xml:space="preserve">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923-924. La misma conclusión,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91</w:t>
      </w:r>
      <w:r w:rsidRPr="00F36D62">
        <w:rPr>
          <w:rFonts w:ascii="Garamond" w:hAnsi="Garamond"/>
          <w:lang w:val="es-CL"/>
        </w:rPr>
        <w:fldChar w:fldCharType="end"/>
      </w:r>
      <w:r w:rsidRPr="00F36D62">
        <w:rPr>
          <w:rFonts w:ascii="Garamond" w:hAnsi="Garamond"/>
          <w:lang w:val="en-US"/>
        </w:rPr>
        <w:t>), II, p. 242.</w:t>
      </w:r>
    </w:p>
  </w:footnote>
  <w:footnote w:id="104">
    <w:p w:rsidR="00306473" w:rsidRPr="00F36D62" w:rsidRDefault="00306473" w:rsidP="00E229F1">
      <w:pPr>
        <w:pStyle w:val="Textonotapie"/>
        <w:rPr>
          <w:rFonts w:ascii="Garamond" w:hAnsi="Garamond"/>
          <w:lang w:val="en-US"/>
        </w:rPr>
      </w:pPr>
      <w:r w:rsidRPr="00F36D62">
        <w:rPr>
          <w:rStyle w:val="Refdenotaalpie"/>
          <w:rFonts w:ascii="Garamond" w:hAnsi="Garamond"/>
        </w:rPr>
        <w:footnoteRef/>
      </w:r>
      <w:r w:rsidRPr="00F36D62">
        <w:rPr>
          <w:rFonts w:ascii="Garamond" w:hAnsi="Garamond"/>
          <w:lang w:val="en-US"/>
        </w:rPr>
        <w:t xml:space="preserve"> Cf</w:t>
      </w:r>
      <w:r w:rsidRPr="00F36D62">
        <w:rPr>
          <w:rFonts w:ascii="Garamond" w:hAnsi="Garamond"/>
          <w:i/>
          <w:lang w:val="en-US"/>
        </w:rPr>
        <w:t>.</w:t>
      </w:r>
      <w:r w:rsidRPr="00F36D62">
        <w:rPr>
          <w:rFonts w:ascii="Garamond" w:hAnsi="Garamond"/>
          <w:lang w:val="en-US"/>
        </w:rPr>
        <w:t xml:space="preserve">, en general, </w:t>
      </w:r>
      <w:r w:rsidRPr="00F36D62">
        <w:rPr>
          <w:rFonts w:ascii="Garamond" w:hAnsi="Garamond"/>
          <w:smallCaps/>
          <w:lang w:val="en-US"/>
        </w:rPr>
        <w:t>Birks</w:t>
      </w:r>
      <w:r w:rsidRPr="00F36D62">
        <w:rPr>
          <w:rFonts w:ascii="Garamond" w:hAnsi="Garamond"/>
          <w:lang w:val="en-US"/>
        </w:rPr>
        <w:t xml:space="preserve">, Peter, </w:t>
      </w:r>
      <w:r w:rsidRPr="00F36D62">
        <w:rPr>
          <w:rFonts w:ascii="Garamond" w:hAnsi="Garamond"/>
          <w:i/>
          <w:lang w:val="en-US"/>
        </w:rPr>
        <w:t xml:space="preserve">Chapter 7. </w:t>
      </w:r>
      <w:r w:rsidRPr="00F36D62">
        <w:rPr>
          <w:rFonts w:ascii="Garamond" w:hAnsi="Garamond"/>
          <w:lang w:val="en-US"/>
        </w:rPr>
        <w:t>Furtum</w:t>
      </w:r>
      <w:r w:rsidRPr="00F36D62">
        <w:rPr>
          <w:rFonts w:ascii="Garamond" w:hAnsi="Garamond"/>
          <w:i/>
          <w:lang w:val="en-US"/>
        </w:rPr>
        <w:t xml:space="preserve"> (Theft)</w:t>
      </w:r>
      <w:r w:rsidRPr="00F36D62">
        <w:rPr>
          <w:rFonts w:ascii="Garamond" w:hAnsi="Garamond"/>
          <w:lang w:val="en-US"/>
        </w:rPr>
        <w:t xml:space="preserve">, en </w:t>
      </w:r>
      <w:r w:rsidRPr="00F36D62">
        <w:rPr>
          <w:rFonts w:ascii="Garamond" w:hAnsi="Garamond"/>
          <w:smallCaps/>
          <w:lang w:val="en-US"/>
        </w:rPr>
        <w:t>Deschemaeker</w:t>
      </w:r>
      <w:r w:rsidRPr="00F36D62">
        <w:rPr>
          <w:rFonts w:ascii="Garamond" w:hAnsi="Garamond"/>
          <w:lang w:val="en-US"/>
        </w:rPr>
        <w:t xml:space="preserve">, Eric (editor), </w:t>
      </w:r>
      <w:proofErr w:type="gramStart"/>
      <w:r w:rsidRPr="00F36D62">
        <w:rPr>
          <w:rFonts w:ascii="Garamond" w:hAnsi="Garamond"/>
          <w:i/>
          <w:lang w:val="en-US"/>
        </w:rPr>
        <w:t>The</w:t>
      </w:r>
      <w:proofErr w:type="gramEnd"/>
      <w:r w:rsidRPr="00F36D62">
        <w:rPr>
          <w:rFonts w:ascii="Garamond" w:hAnsi="Garamond"/>
          <w:i/>
          <w:lang w:val="en-US"/>
        </w:rPr>
        <w:t xml:space="preserve"> roman law of obligations. The collected papers of Peter Birks</w:t>
      </w:r>
      <w:r w:rsidRPr="00F36D62">
        <w:rPr>
          <w:rFonts w:ascii="Garamond" w:hAnsi="Garamond"/>
          <w:lang w:val="en-US"/>
        </w:rPr>
        <w:t>,</w:t>
      </w:r>
      <w:r w:rsidRPr="00F36D62">
        <w:rPr>
          <w:rFonts w:ascii="Garamond" w:hAnsi="Garamond"/>
          <w:i/>
          <w:lang w:val="en-US"/>
        </w:rPr>
        <w:t xml:space="preserve"> </w:t>
      </w:r>
      <w:r w:rsidRPr="00F36D62">
        <w:rPr>
          <w:rFonts w:ascii="Garamond" w:hAnsi="Garamond"/>
          <w:lang w:val="en-US"/>
        </w:rPr>
        <w:t xml:space="preserve">(Oxford, Oxford University Press, 2014), pp. 182-187.  </w:t>
      </w:r>
    </w:p>
  </w:footnote>
  <w:footnote w:id="105">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lang w:val="es-CL"/>
        </w:rPr>
        <w:t xml:space="preserve">En realidad, según expone </w:t>
      </w:r>
      <w:r w:rsidRPr="00F36D62">
        <w:rPr>
          <w:rFonts w:ascii="Garamond" w:hAnsi="Garamond"/>
          <w:smallCaps/>
          <w:lang w:val="es-CL"/>
        </w:rPr>
        <w:t>Sirks</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466-468, siguiendo las Institutas de Gayo, en las XII Tablas originalmente eran cuatro las especies de </w:t>
      </w:r>
      <w:r w:rsidRPr="00F36D62">
        <w:rPr>
          <w:rFonts w:ascii="Garamond" w:hAnsi="Garamond"/>
          <w:i/>
          <w:lang w:val="es-CL"/>
        </w:rPr>
        <w:t>furtum</w:t>
      </w:r>
      <w:r w:rsidRPr="00F36D62">
        <w:rPr>
          <w:rFonts w:ascii="Garamond" w:hAnsi="Garamond"/>
          <w:lang w:val="es-CL"/>
        </w:rPr>
        <w:t>.</w:t>
      </w:r>
    </w:p>
  </w:footnote>
  <w:footnote w:id="106">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Originalmente esta modalidad de </w:t>
      </w:r>
      <w:r w:rsidRPr="00F36D62">
        <w:rPr>
          <w:rFonts w:ascii="Garamond" w:hAnsi="Garamond"/>
          <w:i/>
        </w:rPr>
        <w:t>furtum</w:t>
      </w:r>
      <w:r w:rsidRPr="00F36D62">
        <w:rPr>
          <w:rFonts w:ascii="Garamond" w:hAnsi="Garamond"/>
        </w:rPr>
        <w:t xml:space="preserve"> en las XII Tablas suponía </w:t>
      </w:r>
      <w:r w:rsidRPr="00F36D62">
        <w:rPr>
          <w:rFonts w:ascii="Garamond" w:hAnsi="Garamond"/>
          <w:i/>
        </w:rPr>
        <w:t xml:space="preserve">pena </w:t>
      </w:r>
      <w:proofErr w:type="spellStart"/>
      <w:r w:rsidRPr="00F36D62">
        <w:rPr>
          <w:rFonts w:ascii="Garamond" w:hAnsi="Garamond"/>
          <w:i/>
        </w:rPr>
        <w:t>capitalis</w:t>
      </w:r>
      <w:proofErr w:type="spellEnd"/>
      <w:r w:rsidRPr="00F36D62">
        <w:rPr>
          <w:rFonts w:ascii="Garamond" w:hAnsi="Garamond"/>
        </w:rPr>
        <w:t xml:space="preserve"> (pérdida de libertad o muerte del que no lo era); </w:t>
      </w:r>
      <w:r w:rsidRPr="00F36D62">
        <w:rPr>
          <w:rFonts w:ascii="Garamond" w:hAnsi="Garamond"/>
          <w:i/>
        </w:rPr>
        <w:t>vid.</w:t>
      </w:r>
      <w:r w:rsidRPr="00F36D62">
        <w:rPr>
          <w:rFonts w:ascii="Garamond" w:hAnsi="Garamond"/>
        </w:rPr>
        <w:t xml:space="preserve">, </w:t>
      </w:r>
      <w:r w:rsidRPr="00F36D62">
        <w:rPr>
          <w:rFonts w:ascii="Garamond" w:hAnsi="Garamond"/>
          <w:smallCaps/>
          <w:lang w:val="es-CL"/>
        </w:rPr>
        <w:t>Sirks</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w:t>
      </w:r>
      <w:r w:rsidRPr="00F36D62">
        <w:rPr>
          <w:rFonts w:ascii="Garamond" w:hAnsi="Garamond"/>
        </w:rPr>
        <w:t xml:space="preserve">pp. 470-471; </w:t>
      </w:r>
      <w:r w:rsidRPr="00F36D62">
        <w:rPr>
          <w:rFonts w:ascii="Garamond" w:hAnsi="Garamond"/>
          <w:smallCaps/>
        </w:rPr>
        <w:t>Von Ihering</w:t>
      </w:r>
      <w:r w:rsidRPr="00F36D62">
        <w:rPr>
          <w:rFonts w:ascii="Garamond" w:hAnsi="Garamond"/>
        </w:rPr>
        <w:t xml:space="preserve">, Rudolph, </w:t>
      </w:r>
      <w:r w:rsidRPr="00F36D62">
        <w:rPr>
          <w:rFonts w:ascii="Garamond" w:hAnsi="Garamond"/>
          <w:i/>
        </w:rPr>
        <w:t>El espíritu del Derecho Romano en las diversas fases de su desarrollo</w:t>
      </w:r>
      <w:r w:rsidRPr="00F36D62">
        <w:rPr>
          <w:rFonts w:ascii="Garamond" w:hAnsi="Garamond"/>
        </w:rPr>
        <w:t xml:space="preserve"> (1998, trad. cast., Granada, 2ª edición, Editorial Comares, 2011),</w:t>
      </w:r>
      <w:r w:rsidRPr="00F36D62">
        <w:rPr>
          <w:rFonts w:ascii="Garamond" w:hAnsi="Garamond"/>
          <w:lang w:val="es-CL"/>
        </w:rPr>
        <w:t xml:space="preserve"> p. 87; </w:t>
      </w:r>
      <w:r w:rsidRPr="00F36D62">
        <w:rPr>
          <w:rFonts w:ascii="Garamond" w:hAnsi="Garamond"/>
          <w:smallCaps/>
          <w:lang w:val="es-CL"/>
        </w:rPr>
        <w:t>Cursi</w:t>
      </w:r>
      <w:r w:rsidRPr="00F36D62">
        <w:rPr>
          <w:rFonts w:ascii="Garamond" w:hAnsi="Garamond"/>
          <w:lang w:val="es-CL"/>
        </w:rPr>
        <w:t xml:space="preserve">, </w:t>
      </w:r>
      <w:proofErr w:type="spellStart"/>
      <w:r w:rsidRPr="00F36D62">
        <w:rPr>
          <w:rFonts w:ascii="Garamond" w:hAnsi="Garamond"/>
          <w:lang w:val="es-CL"/>
        </w:rPr>
        <w:t>Maria</w:t>
      </w:r>
      <w:proofErr w:type="spellEnd"/>
      <w:r w:rsidRPr="00F36D62">
        <w:rPr>
          <w:rFonts w:ascii="Garamond" w:hAnsi="Garamond"/>
          <w:lang w:val="es-CL"/>
        </w:rPr>
        <w:t xml:space="preserve"> </w:t>
      </w:r>
      <w:proofErr w:type="spellStart"/>
      <w:r w:rsidRPr="00F36D62">
        <w:rPr>
          <w:rFonts w:ascii="Garamond" w:hAnsi="Garamond"/>
          <w:lang w:val="es-CL"/>
        </w:rPr>
        <w:t>Floriana</w:t>
      </w:r>
      <w:proofErr w:type="spellEnd"/>
      <w:r w:rsidRPr="00F36D62">
        <w:rPr>
          <w:rFonts w:ascii="Garamond" w:hAnsi="Garamond"/>
          <w:lang w:val="es-CL"/>
        </w:rPr>
        <w:t xml:space="preserve">, </w:t>
      </w:r>
      <w:r w:rsidRPr="00F36D62">
        <w:rPr>
          <w:rFonts w:ascii="Garamond" w:hAnsi="Garamond"/>
          <w:i/>
          <w:lang w:val="es-CL"/>
        </w:rPr>
        <w:t xml:space="preserve">La </w:t>
      </w:r>
      <w:proofErr w:type="spellStart"/>
      <w:r w:rsidRPr="00F36D62">
        <w:rPr>
          <w:rFonts w:ascii="Garamond" w:hAnsi="Garamond"/>
          <w:i/>
          <w:lang w:val="es-CL"/>
        </w:rPr>
        <w:t>formazione</w:t>
      </w:r>
      <w:proofErr w:type="spellEnd"/>
      <w:r w:rsidRPr="00F36D62">
        <w:rPr>
          <w:rFonts w:ascii="Garamond" w:hAnsi="Garamond"/>
          <w:i/>
          <w:lang w:val="es-CL"/>
        </w:rPr>
        <w:t xml:space="preserve"> </w:t>
      </w:r>
      <w:proofErr w:type="spellStart"/>
      <w:r w:rsidRPr="00F36D62">
        <w:rPr>
          <w:rFonts w:ascii="Garamond" w:hAnsi="Garamond"/>
          <w:i/>
          <w:lang w:val="es-CL"/>
        </w:rPr>
        <w:t>delle</w:t>
      </w:r>
      <w:proofErr w:type="spellEnd"/>
      <w:r w:rsidRPr="00F36D62">
        <w:rPr>
          <w:rFonts w:ascii="Garamond" w:hAnsi="Garamond"/>
          <w:i/>
          <w:lang w:val="es-CL"/>
        </w:rPr>
        <w:t xml:space="preserve"> </w:t>
      </w:r>
      <w:proofErr w:type="spellStart"/>
      <w:r w:rsidRPr="00F36D62">
        <w:rPr>
          <w:rFonts w:ascii="Garamond" w:hAnsi="Garamond"/>
          <w:i/>
          <w:lang w:val="es-CL"/>
        </w:rPr>
        <w:t>obbligazioni</w:t>
      </w:r>
      <w:proofErr w:type="spellEnd"/>
      <w:r w:rsidRPr="00F36D62">
        <w:rPr>
          <w:rFonts w:ascii="Garamond" w:hAnsi="Garamond"/>
          <w:i/>
        </w:rPr>
        <w:t xml:space="preserve"> </w:t>
      </w:r>
      <w:r w:rsidRPr="00F36D62">
        <w:rPr>
          <w:rFonts w:ascii="Garamond" w:hAnsi="Garamond"/>
        </w:rPr>
        <w:t xml:space="preserve">ex </w:t>
      </w:r>
      <w:proofErr w:type="spellStart"/>
      <w:r w:rsidRPr="00F36D62">
        <w:rPr>
          <w:rFonts w:ascii="Garamond" w:hAnsi="Garamond"/>
        </w:rPr>
        <w:t>delicto</w:t>
      </w:r>
      <w:proofErr w:type="spellEnd"/>
      <w:r w:rsidRPr="00F36D62">
        <w:rPr>
          <w:rFonts w:ascii="Garamond" w:hAnsi="Garamond"/>
        </w:rPr>
        <w:t xml:space="preserve">, en </w:t>
      </w:r>
      <w:r w:rsidRPr="00F36D62">
        <w:rPr>
          <w:rFonts w:ascii="Garamond" w:hAnsi="Garamond"/>
          <w:i/>
        </w:rPr>
        <w:t>RIDA</w:t>
      </w:r>
      <w:r w:rsidRPr="00F36D62">
        <w:rPr>
          <w:rFonts w:ascii="Garamond" w:hAnsi="Garamond"/>
        </w:rPr>
        <w:t xml:space="preserve">, 3 (2011), LVIII, </w:t>
      </w:r>
      <w:r w:rsidRPr="00F36D62">
        <w:rPr>
          <w:rFonts w:ascii="Garamond" w:hAnsi="Garamond"/>
          <w:lang w:val="es-CL"/>
        </w:rPr>
        <w:t xml:space="preserve">p. 150. </w:t>
      </w:r>
      <w:r w:rsidRPr="00F36D62">
        <w:rPr>
          <w:rFonts w:ascii="Garamond" w:hAnsi="Garamond"/>
        </w:rPr>
        <w:t>Sin embargo, esta pena podía ser transigida en dinero, que en tiempos históricos era del cuádruplo, forma en que fue recogida en el edicto del pretor (</w:t>
      </w:r>
      <w:r w:rsidRPr="00F36D62">
        <w:rPr>
          <w:rFonts w:ascii="Garamond" w:hAnsi="Garamond"/>
          <w:i/>
        </w:rPr>
        <w:t>vid.</w:t>
      </w:r>
      <w:r w:rsidRPr="00F36D62">
        <w:rPr>
          <w:rFonts w:ascii="Garamond" w:hAnsi="Garamond"/>
        </w:rPr>
        <w:t xml:space="preserve">, </w:t>
      </w:r>
      <w:r w:rsidRPr="00F36D62">
        <w:rPr>
          <w:rFonts w:ascii="Garamond" w:hAnsi="Garamond"/>
          <w:smallCaps/>
          <w:lang w:val="es-CL"/>
        </w:rPr>
        <w:t>Von Ihering</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_Ref7388914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106</w:t>
      </w:r>
      <w:r w:rsidRPr="00F36D62">
        <w:rPr>
          <w:rFonts w:ascii="Garamond" w:hAnsi="Garamond"/>
          <w:lang w:val="es-CL"/>
        </w:rPr>
        <w:fldChar w:fldCharType="end"/>
      </w:r>
      <w:r w:rsidRPr="00F36D62">
        <w:rPr>
          <w:rFonts w:ascii="Garamond" w:hAnsi="Garamond"/>
          <w:lang w:val="es-CL"/>
        </w:rPr>
        <w:t xml:space="preserve">], p. 91; </w:t>
      </w:r>
      <w:r w:rsidRPr="00F36D62">
        <w:rPr>
          <w:rFonts w:ascii="Garamond" w:hAnsi="Garamond"/>
          <w:smallCaps/>
          <w:lang w:val="es-CL"/>
        </w:rPr>
        <w:t>Sirks</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476; así, las penas privadas aparece como un rescate de la venganza (cf. </w:t>
      </w:r>
      <w:r w:rsidRPr="00F36D62">
        <w:rPr>
          <w:rFonts w:ascii="Garamond" w:hAnsi="Garamond"/>
          <w:smallCaps/>
          <w:lang w:val="es-CL"/>
        </w:rPr>
        <w:t>Von Ihering</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_Ref7388914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106</w:t>
      </w:r>
      <w:r w:rsidRPr="00F36D62">
        <w:rPr>
          <w:rFonts w:ascii="Garamond" w:hAnsi="Garamond"/>
          <w:lang w:val="es-CL"/>
        </w:rPr>
        <w:fldChar w:fldCharType="end"/>
      </w:r>
      <w:r w:rsidRPr="00F36D62">
        <w:rPr>
          <w:rFonts w:ascii="Garamond" w:hAnsi="Garamond"/>
          <w:lang w:val="es-CL"/>
        </w:rPr>
        <w:t xml:space="preserve">], p. 92;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II, p. 232). El rescate, primero de la venganza (</w:t>
      </w:r>
      <w:r w:rsidRPr="00F36D62">
        <w:rPr>
          <w:rFonts w:ascii="Garamond" w:hAnsi="Garamond"/>
          <w:smallCaps/>
          <w:lang w:val="es-CL"/>
        </w:rPr>
        <w:t>Von Ihering</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_Ref7388914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106</w:t>
      </w:r>
      <w:r w:rsidRPr="00F36D62">
        <w:rPr>
          <w:rFonts w:ascii="Garamond" w:hAnsi="Garamond"/>
          <w:lang w:val="es-CL"/>
        </w:rPr>
        <w:fldChar w:fldCharType="end"/>
      </w:r>
      <w:r w:rsidRPr="00F36D62">
        <w:rPr>
          <w:rFonts w:ascii="Garamond" w:hAnsi="Garamond"/>
          <w:lang w:val="es-CL"/>
        </w:rPr>
        <w:t xml:space="preserve">], </w:t>
      </w:r>
      <w:r w:rsidRPr="00F36D62">
        <w:rPr>
          <w:rFonts w:ascii="Garamond" w:hAnsi="Garamond"/>
        </w:rPr>
        <w:t xml:space="preserve">pp. 88-89;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15-16), y luego del talión, era al principio una alternativa del ofendido, pero después se impuso obligatoriamente por el juez, fijando el rescate a falta de acuerdo (cf. </w:t>
      </w:r>
      <w:r w:rsidRPr="00F36D62">
        <w:rPr>
          <w:rFonts w:ascii="Garamond" w:hAnsi="Garamond"/>
          <w:smallCaps/>
          <w:lang w:val="es-CL"/>
        </w:rPr>
        <w:t>Von Ihering</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_Ref7388914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106</w:t>
      </w:r>
      <w:r w:rsidRPr="00F36D62">
        <w:rPr>
          <w:rFonts w:ascii="Garamond" w:hAnsi="Garamond"/>
          <w:lang w:val="es-CL"/>
        </w:rPr>
        <w:fldChar w:fldCharType="end"/>
      </w:r>
      <w:r w:rsidRPr="00F36D62">
        <w:rPr>
          <w:rFonts w:ascii="Garamond" w:hAnsi="Garamond"/>
          <w:lang w:val="es-CL"/>
        </w:rPr>
        <w:t>], p. 91). En una última etapa, la cuantía fue determinada por el poder público (</w:t>
      </w:r>
      <w:r w:rsidRPr="00F36D62">
        <w:rPr>
          <w:rFonts w:ascii="Garamond" w:hAnsi="Garamond"/>
          <w:i/>
          <w:lang w:val="es-CL"/>
        </w:rPr>
        <w:t>vid.</w:t>
      </w:r>
      <w:r w:rsidRPr="00F36D62">
        <w:rPr>
          <w:rFonts w:ascii="Garamond" w:hAnsi="Garamond"/>
          <w:lang w:val="es-CL"/>
        </w:rPr>
        <w:t xml:space="preserve">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233). </w:t>
      </w:r>
    </w:p>
  </w:footnote>
  <w:footnote w:id="107">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Por ello, según apunta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xml:space="preserve">), II, </w:t>
      </w:r>
      <w:r w:rsidRPr="00F36D62">
        <w:rPr>
          <w:rFonts w:ascii="Garamond" w:hAnsi="Garamond"/>
        </w:rPr>
        <w:t xml:space="preserve">p. 208, “[l]a fórmula usual de la demanda, </w:t>
      </w:r>
      <w:proofErr w:type="spellStart"/>
      <w:r w:rsidRPr="00F36D62">
        <w:rPr>
          <w:rFonts w:ascii="Garamond" w:hAnsi="Garamond"/>
        </w:rPr>
        <w:t>á</w:t>
      </w:r>
      <w:proofErr w:type="spellEnd"/>
      <w:r w:rsidRPr="00F36D62">
        <w:rPr>
          <w:rFonts w:ascii="Garamond" w:hAnsi="Garamond"/>
        </w:rPr>
        <w:t xml:space="preserve"> saber, ‘del hecho y del consejo’, se aplicaba probablemente, no tan sólo </w:t>
      </w:r>
      <w:proofErr w:type="spellStart"/>
      <w:r w:rsidRPr="00F36D62">
        <w:rPr>
          <w:rFonts w:ascii="Garamond" w:hAnsi="Garamond"/>
        </w:rPr>
        <w:t>á</w:t>
      </w:r>
      <w:proofErr w:type="spellEnd"/>
      <w:r w:rsidRPr="00F36D62">
        <w:rPr>
          <w:rFonts w:ascii="Garamond" w:hAnsi="Garamond"/>
        </w:rPr>
        <w:t xml:space="preserve"> los instigadores y </w:t>
      </w:r>
      <w:proofErr w:type="spellStart"/>
      <w:r w:rsidRPr="00F36D62">
        <w:rPr>
          <w:rFonts w:ascii="Garamond" w:hAnsi="Garamond"/>
        </w:rPr>
        <w:t>á</w:t>
      </w:r>
      <w:proofErr w:type="spellEnd"/>
      <w:r w:rsidRPr="00F36D62">
        <w:rPr>
          <w:rFonts w:ascii="Garamond" w:hAnsi="Garamond"/>
        </w:rPr>
        <w:t xml:space="preserve"> los cooperadores </w:t>
      </w:r>
      <w:proofErr w:type="spellStart"/>
      <w:r w:rsidRPr="00F36D62">
        <w:rPr>
          <w:rFonts w:ascii="Garamond" w:hAnsi="Garamond"/>
        </w:rPr>
        <w:t>ó</w:t>
      </w:r>
      <w:proofErr w:type="spellEnd"/>
      <w:r w:rsidRPr="00F36D62">
        <w:rPr>
          <w:rFonts w:ascii="Garamond" w:hAnsi="Garamond"/>
        </w:rPr>
        <w:t xml:space="preserve"> auxiliares, sino también </w:t>
      </w:r>
      <w:proofErr w:type="spellStart"/>
      <w:r w:rsidRPr="00F36D62">
        <w:rPr>
          <w:rFonts w:ascii="Garamond" w:hAnsi="Garamond"/>
        </w:rPr>
        <w:t>á</w:t>
      </w:r>
      <w:proofErr w:type="spellEnd"/>
      <w:r w:rsidRPr="00F36D62">
        <w:rPr>
          <w:rFonts w:ascii="Garamond" w:hAnsi="Garamond"/>
        </w:rPr>
        <w:t xml:space="preserve"> los autores propiamente dichos.” Sin embargo, en relación con el hurto,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250 acota que “[e]stán legitimados pasivamente para la </w:t>
      </w:r>
      <w:proofErr w:type="spellStart"/>
      <w:r w:rsidRPr="00F36D62">
        <w:rPr>
          <w:rFonts w:ascii="Garamond" w:hAnsi="Garamond"/>
          <w:i/>
          <w:lang w:val="es-CL"/>
        </w:rPr>
        <w:t>actio</w:t>
      </w:r>
      <w:proofErr w:type="spellEnd"/>
      <w:r w:rsidRPr="00F36D62">
        <w:rPr>
          <w:rFonts w:ascii="Garamond" w:hAnsi="Garamond"/>
          <w:i/>
          <w:lang w:val="es-CL"/>
        </w:rPr>
        <w:t xml:space="preserve"> </w:t>
      </w:r>
      <w:proofErr w:type="spellStart"/>
      <w:r w:rsidRPr="00F36D62">
        <w:rPr>
          <w:rFonts w:ascii="Garamond" w:hAnsi="Garamond"/>
          <w:i/>
          <w:lang w:val="es-CL"/>
        </w:rPr>
        <w:t>furti</w:t>
      </w:r>
      <w:proofErr w:type="spellEnd"/>
      <w:r w:rsidRPr="00F36D62">
        <w:rPr>
          <w:rFonts w:ascii="Garamond" w:hAnsi="Garamond"/>
          <w:i/>
          <w:lang w:val="es-CL"/>
        </w:rPr>
        <w:t xml:space="preserve"> </w:t>
      </w:r>
      <w:proofErr w:type="spellStart"/>
      <w:r w:rsidRPr="00F36D62">
        <w:rPr>
          <w:rFonts w:ascii="Garamond" w:hAnsi="Garamond"/>
          <w:i/>
          <w:lang w:val="es-CL"/>
        </w:rPr>
        <w:t>manifesti</w:t>
      </w:r>
      <w:proofErr w:type="spellEnd"/>
      <w:r w:rsidRPr="00F36D62">
        <w:rPr>
          <w:rFonts w:ascii="Garamond" w:hAnsi="Garamond"/>
          <w:lang w:val="es-CL"/>
        </w:rPr>
        <w:t xml:space="preserve"> el o los autores del delito, no sus cómplices y los instigadores”, mientras que “[p]ara la </w:t>
      </w:r>
      <w:proofErr w:type="spellStart"/>
      <w:r w:rsidRPr="00F36D62">
        <w:rPr>
          <w:rFonts w:ascii="Garamond" w:hAnsi="Garamond"/>
          <w:i/>
          <w:lang w:val="es-CL"/>
        </w:rPr>
        <w:t>actio</w:t>
      </w:r>
      <w:proofErr w:type="spellEnd"/>
      <w:r w:rsidRPr="00F36D62">
        <w:rPr>
          <w:rFonts w:ascii="Garamond" w:hAnsi="Garamond"/>
          <w:i/>
          <w:lang w:val="es-CL"/>
        </w:rPr>
        <w:t xml:space="preserve"> </w:t>
      </w:r>
      <w:proofErr w:type="spellStart"/>
      <w:r w:rsidRPr="00F36D62">
        <w:rPr>
          <w:rFonts w:ascii="Garamond" w:hAnsi="Garamond"/>
          <w:i/>
          <w:lang w:val="es-CL"/>
        </w:rPr>
        <w:t>furti</w:t>
      </w:r>
      <w:proofErr w:type="spellEnd"/>
      <w:r w:rsidRPr="00F36D62">
        <w:rPr>
          <w:rFonts w:ascii="Garamond" w:hAnsi="Garamond"/>
          <w:i/>
          <w:lang w:val="es-CL"/>
        </w:rPr>
        <w:t xml:space="preserve"> </w:t>
      </w:r>
      <w:proofErr w:type="spellStart"/>
      <w:r w:rsidRPr="00F36D62">
        <w:rPr>
          <w:rFonts w:ascii="Garamond" w:hAnsi="Garamond"/>
          <w:i/>
          <w:lang w:val="es-CL"/>
        </w:rPr>
        <w:t>nec</w:t>
      </w:r>
      <w:proofErr w:type="spellEnd"/>
      <w:r w:rsidRPr="00F36D62">
        <w:rPr>
          <w:rFonts w:ascii="Garamond" w:hAnsi="Garamond"/>
          <w:i/>
          <w:lang w:val="es-CL"/>
        </w:rPr>
        <w:t xml:space="preserve"> </w:t>
      </w:r>
      <w:proofErr w:type="spellStart"/>
      <w:r w:rsidRPr="00F36D62">
        <w:rPr>
          <w:rFonts w:ascii="Garamond" w:hAnsi="Garamond"/>
          <w:i/>
          <w:lang w:val="es-CL"/>
        </w:rPr>
        <w:t>manifesti</w:t>
      </w:r>
      <w:proofErr w:type="spellEnd"/>
      <w:r w:rsidRPr="00F36D62">
        <w:rPr>
          <w:rFonts w:ascii="Garamond" w:hAnsi="Garamond"/>
          <w:lang w:val="es-CL"/>
        </w:rPr>
        <w:t xml:space="preserve"> y las demás acciones furtivas […] están legitimados pasivamente desde luego los autores, pero también los cómplices y los instigadores”. </w:t>
      </w:r>
    </w:p>
  </w:footnote>
  <w:footnote w:id="10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rPr>
        <w:t>Mommsen</w:t>
      </w:r>
      <w:r w:rsidRPr="00F36D62">
        <w:rPr>
          <w:rFonts w:ascii="Garamond" w:hAnsi="Garamond"/>
        </w:rPr>
        <w:t xml:space="preserve">, Theodor, </w:t>
      </w:r>
      <w:r w:rsidRPr="00F36D62">
        <w:rPr>
          <w:rFonts w:ascii="Garamond" w:hAnsi="Garamond"/>
          <w:i/>
        </w:rPr>
        <w:t>Derecho Penal Romano</w:t>
      </w:r>
      <w:r w:rsidRPr="00F36D62">
        <w:rPr>
          <w:rFonts w:ascii="Garamond" w:hAnsi="Garamond"/>
        </w:rPr>
        <w:t xml:space="preserve"> </w:t>
      </w:r>
      <w:r w:rsidRPr="00F36D62">
        <w:rPr>
          <w:rFonts w:ascii="Garamond" w:hAnsi="Garamond"/>
          <w:lang w:val="es-CL"/>
        </w:rPr>
        <w:t>(trad. cast., Pamplona, Analecta Editorial, 1999)</w:t>
      </w:r>
      <w:r w:rsidRPr="00F36D62">
        <w:rPr>
          <w:rFonts w:ascii="Garamond" w:hAnsi="Garamond"/>
        </w:rPr>
        <w:t>,</w:t>
      </w:r>
      <w:r w:rsidRPr="00F36D62">
        <w:rPr>
          <w:rFonts w:ascii="Garamond" w:hAnsi="Garamond"/>
          <w:lang w:val="es-CL"/>
        </w:rPr>
        <w:t xml:space="preserve"> I, p. 108</w:t>
      </w:r>
      <w:r w:rsidRPr="00F36D62">
        <w:rPr>
          <w:rFonts w:ascii="Garamond" w:hAnsi="Garamond"/>
        </w:rPr>
        <w:t>;</w:t>
      </w:r>
      <w:r w:rsidRPr="00F36D62">
        <w:rPr>
          <w:rFonts w:ascii="Garamond" w:hAnsi="Garamond"/>
          <w:lang w:val="es-CL"/>
        </w:rPr>
        <w:t xml:space="preserve">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930; en términos generales,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235. </w:t>
      </w:r>
    </w:p>
  </w:footnote>
  <w:footnote w:id="10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n-US"/>
        </w:rPr>
        <w:t xml:space="preserve"> Cf. </w:t>
      </w:r>
      <w:r w:rsidRPr="00F36D62">
        <w:rPr>
          <w:rFonts w:ascii="Garamond" w:hAnsi="Garamond"/>
          <w:smallCaps/>
          <w:lang w:val="en-US"/>
        </w:rPr>
        <w:t>Mommsen</w:t>
      </w:r>
      <w:r w:rsidRPr="00F36D62">
        <w:rPr>
          <w:rFonts w:ascii="Garamond" w:hAnsi="Garamond"/>
          <w:lang w:val="en-US"/>
        </w:rPr>
        <w:t xml:space="preserve">, cit. (n. </w:t>
      </w:r>
      <w:r w:rsidRPr="00F36D62">
        <w:rPr>
          <w:rFonts w:ascii="Garamond" w:hAnsi="Garamond"/>
          <w:lang w:val="es-CL"/>
        </w:rPr>
        <w:fldChar w:fldCharType="begin"/>
      </w:r>
      <w:r w:rsidRPr="00F36D62">
        <w:rPr>
          <w:rFonts w:ascii="Garamond" w:hAnsi="Garamond"/>
          <w:lang w:val="en-US"/>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85</w:t>
      </w:r>
      <w:r w:rsidRPr="00F36D62">
        <w:rPr>
          <w:rFonts w:ascii="Garamond" w:hAnsi="Garamond"/>
          <w:lang w:val="es-CL"/>
        </w:rPr>
        <w:fldChar w:fldCharType="end"/>
      </w:r>
      <w:r w:rsidRPr="00F36D62">
        <w:rPr>
          <w:rFonts w:ascii="Garamond" w:hAnsi="Garamond"/>
          <w:lang w:val="en-US"/>
        </w:rPr>
        <w:t xml:space="preserve">), II, p. 215; </w:t>
      </w:r>
      <w:r w:rsidRPr="00F36D62">
        <w:rPr>
          <w:rFonts w:ascii="Garamond" w:hAnsi="Garamond"/>
          <w:smallCaps/>
          <w:lang w:val="en-US"/>
        </w:rPr>
        <w:t>Mommsen</w:t>
      </w:r>
      <w:r w:rsidRPr="00F36D62">
        <w:rPr>
          <w:rFonts w:ascii="Garamond" w:hAnsi="Garamond"/>
          <w:lang w:val="en-US"/>
        </w:rPr>
        <w:t xml:space="preserve">, cit. </w:t>
      </w:r>
      <w:r w:rsidRPr="00F36D62">
        <w:rPr>
          <w:rFonts w:ascii="Garamond" w:hAnsi="Garamond"/>
          <w:lang w:val="es-CL"/>
        </w:rPr>
        <w:t xml:space="preserve">(n.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 108</w:t>
      </w:r>
      <w:r w:rsidRPr="00F36D62">
        <w:rPr>
          <w:rFonts w:ascii="Garamond" w:hAnsi="Garamond"/>
        </w:rPr>
        <w:t xml:space="preserve">; </w:t>
      </w:r>
      <w:r w:rsidRPr="00F36D62">
        <w:rPr>
          <w:rFonts w:ascii="Garamond" w:hAnsi="Garamond"/>
          <w:smallCaps/>
          <w:lang w:val="es-CL"/>
        </w:rPr>
        <w:t>Zimmermann</w:t>
      </w:r>
      <w:r w:rsidRPr="00F36D62">
        <w:rPr>
          <w:rFonts w:ascii="Garamond" w:hAnsi="Garamond"/>
          <w:lang w:val="es-CL"/>
        </w:rPr>
        <w:t xml:space="preserve">, cit. </w:t>
      </w:r>
      <w:r w:rsidRPr="00F36D62">
        <w:rPr>
          <w:rFonts w:ascii="Garamond" w:hAnsi="Garamond"/>
          <w:lang w:val="en-US"/>
        </w:rPr>
        <w:t xml:space="preserve">(n. </w:t>
      </w:r>
      <w:r w:rsidRPr="00F36D62">
        <w:rPr>
          <w:rFonts w:ascii="Garamond" w:hAnsi="Garamond"/>
          <w:lang w:val="es-CL"/>
        </w:rPr>
        <w:fldChar w:fldCharType="begin"/>
      </w:r>
      <w:r w:rsidRPr="00F36D62">
        <w:rPr>
          <w:rFonts w:ascii="Garamond" w:hAnsi="Garamond"/>
          <w:lang w:val="en-US"/>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916. </w:t>
      </w:r>
    </w:p>
  </w:footnote>
  <w:footnote w:id="11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Con referencia a la </w:t>
      </w:r>
      <w:proofErr w:type="spellStart"/>
      <w:r w:rsidRPr="00F36D62">
        <w:rPr>
          <w:rFonts w:ascii="Garamond" w:hAnsi="Garamond"/>
          <w:i/>
        </w:rPr>
        <w:t>contrectatio</w:t>
      </w:r>
      <w:proofErr w:type="spellEnd"/>
      <w:r w:rsidRPr="00F36D62">
        <w:rPr>
          <w:rFonts w:ascii="Garamond" w:hAnsi="Garamond"/>
        </w:rPr>
        <w:t xml:space="preserve"> en el hurto, </w:t>
      </w:r>
      <w:r w:rsidRPr="00F36D62">
        <w:rPr>
          <w:rFonts w:ascii="Garamond" w:hAnsi="Garamond"/>
          <w:smallCaps/>
          <w:lang w:val="es-CL"/>
        </w:rPr>
        <w:t>Mommsen</w:t>
      </w:r>
      <w:r w:rsidRPr="00F36D62">
        <w:rPr>
          <w:rFonts w:ascii="Garamond" w:hAnsi="Garamond"/>
          <w:lang w:val="es-CL"/>
        </w:rPr>
        <w:t xml:space="preserve">, cit. </w:t>
      </w:r>
      <w:r w:rsidRPr="00F36D62">
        <w:rPr>
          <w:rFonts w:ascii="Garamond" w:hAnsi="Garamond"/>
          <w:lang w:val="en-US"/>
        </w:rPr>
        <w:t xml:space="preserve">(n. </w:t>
      </w:r>
      <w:r w:rsidRPr="00F36D62">
        <w:rPr>
          <w:rFonts w:ascii="Garamond" w:hAnsi="Garamond"/>
          <w:lang w:val="es-CL"/>
        </w:rPr>
        <w:fldChar w:fldCharType="begin"/>
      </w:r>
      <w:r w:rsidRPr="00F36D62">
        <w:rPr>
          <w:rFonts w:ascii="Garamond" w:hAnsi="Garamond"/>
          <w:lang w:val="en-US"/>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85</w:t>
      </w:r>
      <w:r w:rsidRPr="00F36D62">
        <w:rPr>
          <w:rFonts w:ascii="Garamond" w:hAnsi="Garamond"/>
          <w:lang w:val="es-CL"/>
        </w:rPr>
        <w:fldChar w:fldCharType="end"/>
      </w:r>
      <w:r w:rsidRPr="00F36D62">
        <w:rPr>
          <w:rFonts w:ascii="Garamond" w:hAnsi="Garamond"/>
          <w:lang w:val="en-US"/>
        </w:rPr>
        <w:t xml:space="preserve">), II, p. 208; </w:t>
      </w:r>
      <w:r w:rsidRPr="00F36D62">
        <w:rPr>
          <w:rFonts w:ascii="Garamond" w:hAnsi="Garamond"/>
          <w:smallCaps/>
          <w:lang w:val="en-US"/>
        </w:rPr>
        <w:t>Birks</w:t>
      </w:r>
      <w:r w:rsidRPr="00F36D62">
        <w:rPr>
          <w:rFonts w:ascii="Garamond" w:hAnsi="Garamond"/>
          <w:lang w:val="en-US"/>
        </w:rPr>
        <w:t xml:space="preserve">, cit. </w:t>
      </w:r>
      <w:r w:rsidRPr="00F36D62">
        <w:rPr>
          <w:rFonts w:ascii="Garamond" w:hAnsi="Garamond"/>
          <w:lang w:val="es-CL"/>
        </w:rPr>
        <w:t xml:space="preserve">(n. </w:t>
      </w:r>
      <w:r w:rsidRPr="00F36D62">
        <w:rPr>
          <w:rFonts w:ascii="Garamond" w:hAnsi="Garamond"/>
          <w:lang w:val="en-US"/>
        </w:rPr>
        <w:fldChar w:fldCharType="begin"/>
      </w:r>
      <w:r w:rsidRPr="00F36D62">
        <w:rPr>
          <w:rFonts w:ascii="Garamond" w:hAnsi="Garamond"/>
          <w:lang w:val="es-CL"/>
        </w:rPr>
        <w:instrText xml:space="preserve"> NOTEREF _Ref519785790 \h  \* MERGEFORMAT </w:instrText>
      </w:r>
      <w:r w:rsidRPr="00F36D62">
        <w:rPr>
          <w:rFonts w:ascii="Garamond" w:hAnsi="Garamond"/>
          <w:lang w:val="en-US"/>
        </w:rPr>
      </w:r>
      <w:r w:rsidRPr="00F36D62">
        <w:rPr>
          <w:rFonts w:ascii="Garamond" w:hAnsi="Garamond"/>
          <w:lang w:val="en-US"/>
        </w:rPr>
        <w:fldChar w:fldCharType="separate"/>
      </w:r>
      <w:r w:rsidRPr="00F36D62">
        <w:rPr>
          <w:rFonts w:ascii="Garamond" w:hAnsi="Garamond"/>
          <w:lang w:val="es-CL"/>
        </w:rPr>
        <w:t>104</w:t>
      </w:r>
      <w:r w:rsidRPr="00F36D62">
        <w:rPr>
          <w:rFonts w:ascii="Garamond" w:hAnsi="Garamond"/>
          <w:lang w:val="en-US"/>
        </w:rPr>
        <w:fldChar w:fldCharType="end"/>
      </w:r>
      <w:r w:rsidRPr="00F36D62">
        <w:rPr>
          <w:rFonts w:ascii="Garamond" w:hAnsi="Garamond"/>
          <w:lang w:val="es-CL"/>
        </w:rPr>
        <w:t xml:space="preserve">), pp. 177-178; en términos generales,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II, p. 235</w:t>
      </w:r>
      <w:r w:rsidRPr="00F36D62">
        <w:rPr>
          <w:rFonts w:ascii="Garamond" w:hAnsi="Garamond"/>
        </w:rPr>
        <w:t xml:space="preserve">. </w:t>
      </w:r>
    </w:p>
  </w:footnote>
  <w:footnote w:id="111">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Mommsen</w:t>
      </w:r>
      <w:r w:rsidRPr="00F36D62">
        <w:rPr>
          <w:rFonts w:ascii="Garamond" w:hAnsi="Garamond"/>
          <w:lang w:val="it-IT"/>
        </w:rPr>
        <w:t xml:space="preserve">, cit. (n. </w:t>
      </w:r>
      <w:r w:rsidRPr="00F36D62">
        <w:rPr>
          <w:rFonts w:ascii="Garamond" w:hAnsi="Garamond"/>
          <w:lang w:val="es-CL"/>
        </w:rPr>
        <w:fldChar w:fldCharType="begin"/>
      </w:r>
      <w:r w:rsidRPr="00F36D62">
        <w:rPr>
          <w:rFonts w:ascii="Garamond" w:hAnsi="Garamond"/>
          <w:lang w:val="it-IT"/>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108</w:t>
      </w:r>
      <w:r w:rsidRPr="00F36D62">
        <w:rPr>
          <w:rFonts w:ascii="Garamond" w:hAnsi="Garamond"/>
          <w:lang w:val="es-CL"/>
        </w:rPr>
        <w:fldChar w:fldCharType="end"/>
      </w:r>
      <w:r w:rsidRPr="00F36D62">
        <w:rPr>
          <w:rFonts w:ascii="Garamond" w:hAnsi="Garamond"/>
          <w:lang w:val="it-IT"/>
        </w:rPr>
        <w:t>), I, pp. 24, 89.</w:t>
      </w:r>
    </w:p>
  </w:footnote>
  <w:footnote w:id="112">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i/>
          <w:lang w:val="es-CL"/>
        </w:rPr>
        <w:t>Vid. supra</w:t>
      </w:r>
      <w:r w:rsidRPr="00F36D62">
        <w:rPr>
          <w:rFonts w:ascii="Garamond" w:hAnsi="Garamond"/>
          <w:lang w:val="es-CL"/>
        </w:rPr>
        <w:t xml:space="preserve"> nn. </w:t>
      </w:r>
      <w:r w:rsidRPr="00F36D62">
        <w:rPr>
          <w:rFonts w:ascii="Garamond" w:hAnsi="Garamond"/>
          <w:lang w:val="es-CL"/>
        </w:rPr>
        <w:fldChar w:fldCharType="begin"/>
      </w:r>
      <w:r w:rsidRPr="00F36D62">
        <w:rPr>
          <w:rFonts w:ascii="Garamond" w:hAnsi="Garamond"/>
          <w:lang w:val="es-CL"/>
        </w:rPr>
        <w:instrText xml:space="preserve"> NOTEREF _Ref519785790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104</w:t>
      </w:r>
      <w:r w:rsidRPr="00F36D62">
        <w:rPr>
          <w:rFonts w:ascii="Garamond" w:hAnsi="Garamond"/>
          <w:lang w:val="es-CL"/>
        </w:rPr>
        <w:fldChar w:fldCharType="end"/>
      </w:r>
      <w:r w:rsidRPr="00F36D62">
        <w:rPr>
          <w:rFonts w:ascii="Garamond" w:hAnsi="Garamond"/>
          <w:lang w:val="es-CL"/>
        </w:rPr>
        <w:t xml:space="preserve"> y </w:t>
      </w:r>
      <w:r w:rsidRPr="00F36D62">
        <w:rPr>
          <w:rFonts w:ascii="Garamond" w:hAnsi="Garamond"/>
          <w:lang w:val="es-CL"/>
        </w:rPr>
        <w:fldChar w:fldCharType="begin"/>
      </w:r>
      <w:r w:rsidRPr="00F36D62">
        <w:rPr>
          <w:rFonts w:ascii="Garamond" w:hAnsi="Garamond"/>
          <w:lang w:val="es-CL"/>
        </w:rPr>
        <w:instrText xml:space="preserve"> NOTEREF _Ref7388914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106</w:t>
      </w:r>
      <w:r w:rsidRPr="00F36D62">
        <w:rPr>
          <w:rFonts w:ascii="Garamond" w:hAnsi="Garamond"/>
          <w:lang w:val="es-CL"/>
        </w:rPr>
        <w:fldChar w:fldCharType="end"/>
      </w:r>
      <w:r w:rsidRPr="00F36D62">
        <w:rPr>
          <w:rFonts w:ascii="Garamond" w:hAnsi="Garamond"/>
          <w:lang w:val="es-CL"/>
        </w:rPr>
        <w:t xml:space="preserve">. No obstante su carácter pecuniario, las penas del </w:t>
      </w:r>
      <w:r w:rsidRPr="00F36D62">
        <w:rPr>
          <w:rFonts w:ascii="Garamond" w:hAnsi="Garamond"/>
          <w:i/>
          <w:lang w:val="es-CL"/>
        </w:rPr>
        <w:t>furtum</w:t>
      </w:r>
      <w:r w:rsidRPr="00F36D62">
        <w:rPr>
          <w:rFonts w:ascii="Garamond" w:hAnsi="Garamond"/>
          <w:lang w:val="es-CL"/>
        </w:rPr>
        <w:t xml:space="preserve"> eran de naturaleza punitiva en tanto que eran compatibles con los remedios orientados a recuperar la cosa o indemnizar el daño (</w:t>
      </w:r>
      <w:r w:rsidRPr="00F36D62">
        <w:rPr>
          <w:rFonts w:ascii="Garamond" w:hAnsi="Garamond"/>
          <w:i/>
          <w:lang w:val="es-CL"/>
        </w:rPr>
        <w:t>vid.</w:t>
      </w:r>
      <w:r w:rsidRPr="00F36D62">
        <w:rPr>
          <w:rFonts w:ascii="Garamond" w:hAnsi="Garamond"/>
          <w:lang w:val="es-CL"/>
        </w:rPr>
        <w:t xml:space="preserve">, </w:t>
      </w:r>
      <w:r w:rsidRPr="00F36D62">
        <w:rPr>
          <w:rFonts w:ascii="Garamond" w:hAnsi="Garamond"/>
          <w:smallCaps/>
          <w:lang w:val="es-CL"/>
        </w:rPr>
        <w:t>Birks</w:t>
      </w:r>
      <w:r w:rsidRPr="00F36D62">
        <w:rPr>
          <w:rFonts w:ascii="Garamond" w:hAnsi="Garamond"/>
          <w:lang w:val="es-CL"/>
        </w:rPr>
        <w:t xml:space="preserve">, cit. [n. </w:t>
      </w:r>
      <w:r w:rsidRPr="00F36D62">
        <w:rPr>
          <w:rFonts w:ascii="Garamond" w:hAnsi="Garamond"/>
          <w:lang w:val="en-US"/>
        </w:rPr>
        <w:fldChar w:fldCharType="begin"/>
      </w:r>
      <w:r w:rsidRPr="00F36D62">
        <w:rPr>
          <w:rFonts w:ascii="Garamond" w:hAnsi="Garamond"/>
          <w:lang w:val="es-CL"/>
        </w:rPr>
        <w:instrText xml:space="preserve"> NOTEREF _Ref519785790 \h  \* MERGEFORMAT </w:instrText>
      </w:r>
      <w:r w:rsidRPr="00F36D62">
        <w:rPr>
          <w:rFonts w:ascii="Garamond" w:hAnsi="Garamond"/>
          <w:lang w:val="en-US"/>
        </w:rPr>
      </w:r>
      <w:r w:rsidRPr="00F36D62">
        <w:rPr>
          <w:rFonts w:ascii="Garamond" w:hAnsi="Garamond"/>
          <w:lang w:val="en-US"/>
        </w:rPr>
        <w:fldChar w:fldCharType="separate"/>
      </w:r>
      <w:r w:rsidRPr="00F36D62">
        <w:rPr>
          <w:rFonts w:ascii="Garamond" w:hAnsi="Garamond"/>
          <w:lang w:val="es-CL"/>
        </w:rPr>
        <w:t>104</w:t>
      </w:r>
      <w:r w:rsidRPr="00F36D62">
        <w:rPr>
          <w:rFonts w:ascii="Garamond" w:hAnsi="Garamond"/>
          <w:lang w:val="en-US"/>
        </w:rPr>
        <w:fldChar w:fldCharType="end"/>
      </w:r>
      <w:r w:rsidRPr="00F36D62">
        <w:rPr>
          <w:rFonts w:ascii="Garamond" w:hAnsi="Garamond"/>
          <w:lang w:val="es-CL"/>
        </w:rPr>
        <w:t xml:space="preserve">], p. 182;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921), sirviendo el valor de la cosa sólo para determinar la cuantía de la pena pero no como pago del daño (cf.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xml:space="preserve">], I, p. 109). Lo mismo que la intransmisibilidad pasiva de las acciones penales (así,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pp. 915-916; en términos generales,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235), confirma el carácter punitivo de las sanciones, que la necesidad de castigar a todos los copartícipes condujera a que la víctima de un único hurto recibiese tantas penas como responsables (cf. </w:t>
      </w:r>
      <w:r w:rsidRPr="00F36D62">
        <w:rPr>
          <w:rFonts w:ascii="Garamond" w:hAnsi="Garamond"/>
          <w:smallCaps/>
          <w:lang w:val="es-CL"/>
        </w:rPr>
        <w:t>Zimmermann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916; en general,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237). Sin embargo, como anota </w:t>
      </w:r>
      <w:r w:rsidRPr="00F36D62">
        <w:rPr>
          <w:rFonts w:ascii="Garamond" w:hAnsi="Garamond"/>
          <w:smallCaps/>
          <w:lang w:val="es-CL"/>
        </w:rPr>
        <w:t>Burillo</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p. 16, “[l]a </w:t>
      </w:r>
      <w:proofErr w:type="spellStart"/>
      <w:r w:rsidRPr="00F36D62">
        <w:rPr>
          <w:rFonts w:ascii="Garamond" w:hAnsi="Garamond"/>
          <w:lang w:val="es-CL"/>
        </w:rPr>
        <w:t>cumulatividad</w:t>
      </w:r>
      <w:proofErr w:type="spellEnd"/>
      <w:r w:rsidRPr="00F36D62">
        <w:rPr>
          <w:rFonts w:ascii="Garamond" w:hAnsi="Garamond"/>
          <w:lang w:val="es-CL"/>
        </w:rPr>
        <w:t xml:space="preserve"> de las acciones penales tiene una excepción, un </w:t>
      </w:r>
      <w:proofErr w:type="spellStart"/>
      <w:r w:rsidRPr="00F36D62">
        <w:rPr>
          <w:rFonts w:ascii="Garamond" w:hAnsi="Garamond"/>
          <w:i/>
          <w:lang w:val="es-CL"/>
        </w:rPr>
        <w:t>beneficium</w:t>
      </w:r>
      <w:proofErr w:type="spellEnd"/>
      <w:r w:rsidRPr="00F36D62">
        <w:rPr>
          <w:rFonts w:ascii="Garamond" w:hAnsi="Garamond"/>
          <w:i/>
          <w:lang w:val="es-CL"/>
        </w:rPr>
        <w:t xml:space="preserve"> </w:t>
      </w:r>
      <w:proofErr w:type="spellStart"/>
      <w:r w:rsidRPr="00F36D62">
        <w:rPr>
          <w:rFonts w:ascii="Garamond" w:hAnsi="Garamond"/>
          <w:i/>
          <w:lang w:val="es-CL"/>
        </w:rPr>
        <w:t>edicti</w:t>
      </w:r>
      <w:proofErr w:type="spellEnd"/>
      <w:r w:rsidRPr="00F36D62">
        <w:rPr>
          <w:rFonts w:ascii="Garamond" w:hAnsi="Garamond"/>
          <w:lang w:val="es-CL"/>
        </w:rPr>
        <w:t xml:space="preserve"> para el caso de que varios esclavos de un mismo dueño cometan un hurto (D.47.6), en el sentido de que la pena exigible es una sola”; así también,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xml:space="preserve">), I, p. 110. </w:t>
      </w:r>
    </w:p>
  </w:footnote>
  <w:footnote w:id="113">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lang w:val="it-IT"/>
        </w:rPr>
        <w:t xml:space="preserve">Cf. </w:t>
      </w:r>
      <w:r w:rsidRPr="00F36D62">
        <w:rPr>
          <w:rFonts w:ascii="Garamond" w:hAnsi="Garamond"/>
          <w:smallCaps/>
          <w:lang w:val="it-IT"/>
        </w:rPr>
        <w:t>Mommsen</w:t>
      </w:r>
      <w:r w:rsidRPr="00F36D62">
        <w:rPr>
          <w:rFonts w:ascii="Garamond" w:hAnsi="Garamond"/>
          <w:lang w:val="it-IT"/>
        </w:rPr>
        <w:t xml:space="preserve">, cit. (n. </w:t>
      </w:r>
      <w:r w:rsidRPr="00F36D62">
        <w:rPr>
          <w:rFonts w:ascii="Garamond" w:hAnsi="Garamond"/>
          <w:lang w:val="es-CL"/>
        </w:rPr>
        <w:fldChar w:fldCharType="begin"/>
      </w:r>
      <w:r w:rsidRPr="00F36D62">
        <w:rPr>
          <w:rFonts w:ascii="Garamond" w:hAnsi="Garamond"/>
          <w:lang w:val="it-IT"/>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108</w:t>
      </w:r>
      <w:r w:rsidRPr="00F36D62">
        <w:rPr>
          <w:rFonts w:ascii="Garamond" w:hAnsi="Garamond"/>
          <w:lang w:val="es-CL"/>
        </w:rPr>
        <w:fldChar w:fldCharType="end"/>
      </w:r>
      <w:r w:rsidRPr="00F36D62">
        <w:rPr>
          <w:rFonts w:ascii="Garamond" w:hAnsi="Garamond"/>
          <w:lang w:val="it-IT"/>
        </w:rPr>
        <w:t xml:space="preserve">), I, p. 89; </w:t>
      </w:r>
      <w:r w:rsidRPr="00F36D62">
        <w:rPr>
          <w:rFonts w:ascii="Garamond" w:hAnsi="Garamond"/>
          <w:smallCaps/>
          <w:lang w:val="it-IT"/>
        </w:rPr>
        <w:t>Zimmermann</w:t>
      </w:r>
      <w:r w:rsidRPr="00F36D62">
        <w:rPr>
          <w:rFonts w:ascii="Garamond" w:hAnsi="Garamond"/>
          <w:lang w:val="it-IT"/>
        </w:rPr>
        <w:t xml:space="preserve">, cit. </w:t>
      </w:r>
      <w:r w:rsidRPr="00F36D62">
        <w:rPr>
          <w:rFonts w:ascii="Garamond" w:hAnsi="Garamond"/>
          <w:lang w:val="es-CL"/>
        </w:rPr>
        <w:t xml:space="preserve">(n.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p. 917.</w:t>
      </w:r>
    </w:p>
  </w:footnote>
  <w:footnote w:id="114">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es-CL"/>
        </w:rPr>
        <w:t xml:space="preserve"> Así,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xml:space="preserve">), II, p. 217. Similar, </w:t>
      </w:r>
      <w:r w:rsidRPr="00F36D62">
        <w:rPr>
          <w:rFonts w:ascii="Garamond" w:hAnsi="Garamond"/>
          <w:smallCaps/>
          <w:lang w:val="es-CL"/>
        </w:rPr>
        <w:t>Zimmermann</w:t>
      </w:r>
      <w:r w:rsidRPr="00F36D62">
        <w:rPr>
          <w:rFonts w:ascii="Garamond" w:hAnsi="Garamond"/>
          <w:lang w:val="es-CL"/>
        </w:rPr>
        <w:t xml:space="preserve">, cit. </w:t>
      </w:r>
      <w:r w:rsidRPr="00F36D62">
        <w:rPr>
          <w:rFonts w:ascii="Garamond" w:hAnsi="Garamond"/>
          <w:lang w:val="en-US"/>
        </w:rPr>
        <w:t xml:space="preserve">(n. </w:t>
      </w:r>
      <w:r w:rsidRPr="00F36D62">
        <w:rPr>
          <w:rFonts w:ascii="Garamond" w:hAnsi="Garamond"/>
          <w:lang w:val="es-CL"/>
        </w:rPr>
        <w:fldChar w:fldCharType="begin"/>
      </w:r>
      <w:r w:rsidRPr="00F36D62">
        <w:rPr>
          <w:rFonts w:ascii="Garamond" w:hAnsi="Garamond"/>
          <w:lang w:val="en-US"/>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91</w:t>
      </w:r>
      <w:r w:rsidRPr="00F36D62">
        <w:rPr>
          <w:rFonts w:ascii="Garamond" w:hAnsi="Garamond"/>
          <w:lang w:val="es-CL"/>
        </w:rPr>
        <w:fldChar w:fldCharType="end"/>
      </w:r>
      <w:r w:rsidRPr="00F36D62">
        <w:rPr>
          <w:rFonts w:ascii="Garamond" w:hAnsi="Garamond"/>
          <w:lang w:val="en-US"/>
        </w:rPr>
        <w:t xml:space="preserve">), p. 916. </w:t>
      </w:r>
      <w:r w:rsidRPr="00F36D62">
        <w:rPr>
          <w:rFonts w:ascii="Garamond" w:hAnsi="Garamond"/>
          <w:lang w:val="es-CL"/>
        </w:rPr>
        <w:t xml:space="preserve">Este procedimiento, en tiempos antiguos, habría permitido ponerse a </w:t>
      </w:r>
      <w:proofErr w:type="spellStart"/>
      <w:r w:rsidRPr="00F36D62">
        <w:rPr>
          <w:rFonts w:ascii="Garamond" w:hAnsi="Garamond"/>
          <w:lang w:val="es-CL"/>
        </w:rPr>
        <w:t>recaduo</w:t>
      </w:r>
      <w:proofErr w:type="spellEnd"/>
      <w:r w:rsidRPr="00F36D62">
        <w:rPr>
          <w:rFonts w:ascii="Garamond" w:hAnsi="Garamond"/>
          <w:lang w:val="es-CL"/>
        </w:rPr>
        <w:t xml:space="preserve"> de la eventual venganza por parte del ofendido; cf. </w:t>
      </w:r>
      <w:r w:rsidRPr="00F36D62">
        <w:rPr>
          <w:rFonts w:ascii="Garamond" w:hAnsi="Garamond"/>
          <w:smallCaps/>
          <w:lang w:val="es-CL"/>
        </w:rPr>
        <w:t>Mommsen</w:t>
      </w:r>
      <w:r w:rsidRPr="00F36D62">
        <w:rPr>
          <w:rFonts w:ascii="Garamond" w:hAnsi="Garamond"/>
          <w:lang w:val="es-CL"/>
        </w:rPr>
        <w:t xml:space="preserve">, cit. </w:t>
      </w:r>
      <w:r w:rsidRPr="00F36D62">
        <w:rPr>
          <w:rFonts w:ascii="Garamond" w:hAnsi="Garamond"/>
          <w:lang w:val="it-IT"/>
        </w:rPr>
        <w:t xml:space="preserve">(n. </w:t>
      </w:r>
      <w:r w:rsidRPr="00F36D62">
        <w:rPr>
          <w:rFonts w:ascii="Garamond" w:hAnsi="Garamond"/>
          <w:lang w:val="es-CL"/>
        </w:rPr>
        <w:fldChar w:fldCharType="begin"/>
      </w:r>
      <w:r w:rsidRPr="00F36D62">
        <w:rPr>
          <w:rFonts w:ascii="Garamond" w:hAnsi="Garamond"/>
          <w:lang w:val="it-IT"/>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108</w:t>
      </w:r>
      <w:r w:rsidRPr="00F36D62">
        <w:rPr>
          <w:rFonts w:ascii="Garamond" w:hAnsi="Garamond"/>
          <w:lang w:val="es-CL"/>
        </w:rPr>
        <w:fldChar w:fldCharType="end"/>
      </w:r>
      <w:r w:rsidRPr="00F36D62">
        <w:rPr>
          <w:rFonts w:ascii="Garamond" w:hAnsi="Garamond"/>
          <w:lang w:val="it-IT"/>
        </w:rPr>
        <w:t>), I, p. 23.</w:t>
      </w:r>
    </w:p>
  </w:footnote>
  <w:footnote w:id="115">
    <w:p w:rsidR="00306473" w:rsidRPr="00F36D62" w:rsidRDefault="00306473" w:rsidP="00E229F1">
      <w:pPr>
        <w:pStyle w:val="Textonotapie"/>
        <w:rPr>
          <w:rFonts w:ascii="Garamond" w:hAnsi="Garamond"/>
          <w:lang w:val="it-IT"/>
        </w:rPr>
      </w:pPr>
      <w:r w:rsidRPr="00F36D62">
        <w:rPr>
          <w:rStyle w:val="Refdenotaalpie"/>
          <w:rFonts w:ascii="Garamond" w:hAnsi="Garamond"/>
        </w:rPr>
        <w:footnoteRef/>
      </w:r>
      <w:r w:rsidRPr="00F36D62">
        <w:rPr>
          <w:rFonts w:ascii="Garamond" w:hAnsi="Garamond"/>
          <w:lang w:val="it-IT"/>
        </w:rPr>
        <w:t xml:space="preserve"> </w:t>
      </w:r>
      <w:r w:rsidRPr="00F36D62">
        <w:rPr>
          <w:rFonts w:ascii="Garamond" w:hAnsi="Garamond"/>
          <w:smallCaps/>
          <w:lang w:val="it-IT"/>
        </w:rPr>
        <w:t>Mommsen</w:t>
      </w:r>
      <w:r w:rsidRPr="00F36D62">
        <w:rPr>
          <w:rFonts w:ascii="Garamond" w:hAnsi="Garamond"/>
          <w:lang w:val="it-IT"/>
        </w:rPr>
        <w:t xml:space="preserve">, </w:t>
      </w:r>
      <w:r w:rsidRPr="00F36D62">
        <w:rPr>
          <w:rFonts w:ascii="Garamond" w:hAnsi="Garamond"/>
          <w:lang w:val="it-IT"/>
        </w:rPr>
        <w:t xml:space="preserve">cit. (n. </w:t>
      </w:r>
      <w:r w:rsidRPr="00F36D62">
        <w:rPr>
          <w:rFonts w:ascii="Garamond" w:hAnsi="Garamond"/>
          <w:lang w:val="es-CL"/>
        </w:rPr>
        <w:fldChar w:fldCharType="begin"/>
      </w:r>
      <w:r w:rsidRPr="00F36D62">
        <w:rPr>
          <w:rFonts w:ascii="Garamond" w:hAnsi="Garamond"/>
          <w:lang w:val="it-IT"/>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it-IT"/>
        </w:rPr>
        <w:t>108</w:t>
      </w:r>
      <w:r w:rsidRPr="00F36D62">
        <w:rPr>
          <w:rFonts w:ascii="Garamond" w:hAnsi="Garamond"/>
          <w:lang w:val="es-CL"/>
        </w:rPr>
        <w:fldChar w:fldCharType="end"/>
      </w:r>
      <w:r w:rsidRPr="00F36D62">
        <w:rPr>
          <w:rFonts w:ascii="Garamond" w:hAnsi="Garamond"/>
          <w:lang w:val="it-IT"/>
        </w:rPr>
        <w:t>), I, p. 89.</w:t>
      </w:r>
    </w:p>
  </w:footnote>
  <w:footnote w:id="116">
    <w:p w:rsidR="00306473" w:rsidRPr="00F36D62" w:rsidRDefault="00306473" w:rsidP="00E229F1">
      <w:pPr>
        <w:pStyle w:val="Textonotapie"/>
        <w:rPr>
          <w:rFonts w:ascii="Garamond" w:hAnsi="Garamond"/>
          <w:lang w:val="en-US"/>
        </w:rPr>
      </w:pPr>
      <w:r w:rsidRPr="00F36D62">
        <w:rPr>
          <w:rStyle w:val="Refdenotaalpie"/>
          <w:rFonts w:ascii="Garamond" w:hAnsi="Garamond"/>
          <w:lang w:val="en-US"/>
        </w:rPr>
        <w:footnoteRef/>
      </w:r>
      <w:r w:rsidRPr="00F36D62">
        <w:rPr>
          <w:rFonts w:ascii="Garamond" w:hAnsi="Garamond"/>
          <w:lang w:val="it-IT"/>
        </w:rPr>
        <w:t xml:space="preserve"> </w:t>
      </w:r>
      <w:r w:rsidRPr="00F36D62">
        <w:rPr>
          <w:rFonts w:ascii="Garamond" w:hAnsi="Garamond"/>
          <w:smallCaps/>
          <w:lang w:val="it-IT"/>
        </w:rPr>
        <w:t>Zimmermann</w:t>
      </w:r>
      <w:r w:rsidRPr="00F36D62">
        <w:rPr>
          <w:rFonts w:ascii="Garamond" w:hAnsi="Garamond"/>
          <w:lang w:val="it-IT"/>
        </w:rPr>
        <w:t xml:space="preserve">, </w:t>
      </w:r>
      <w:r w:rsidRPr="00F36D62">
        <w:rPr>
          <w:rFonts w:ascii="Garamond" w:hAnsi="Garamond"/>
          <w:lang w:val="it-IT"/>
        </w:rPr>
        <w:t xml:space="preserve">cit. </w:t>
      </w:r>
      <w:r w:rsidRPr="00F36D62">
        <w:rPr>
          <w:rFonts w:ascii="Garamond" w:hAnsi="Garamond"/>
          <w:lang w:val="en-US"/>
        </w:rPr>
        <w:t xml:space="preserve">(n. </w:t>
      </w:r>
      <w:r w:rsidRPr="00F36D62">
        <w:rPr>
          <w:rFonts w:ascii="Garamond" w:hAnsi="Garamond"/>
          <w:lang w:val="es-CL"/>
        </w:rPr>
        <w:fldChar w:fldCharType="begin"/>
      </w:r>
      <w:r w:rsidRPr="00F36D62">
        <w:rPr>
          <w:rFonts w:ascii="Garamond" w:hAnsi="Garamond"/>
          <w:lang w:val="en-US"/>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91</w:t>
      </w:r>
      <w:r w:rsidRPr="00F36D62">
        <w:rPr>
          <w:rFonts w:ascii="Garamond" w:hAnsi="Garamond"/>
          <w:lang w:val="es-CL"/>
        </w:rPr>
        <w:fldChar w:fldCharType="end"/>
      </w:r>
      <w:r w:rsidRPr="00F36D62">
        <w:rPr>
          <w:rFonts w:ascii="Garamond" w:hAnsi="Garamond"/>
          <w:lang w:val="en-US"/>
        </w:rPr>
        <w:t>), p. 917: “</w:t>
      </w:r>
      <w:r w:rsidRPr="00F36D62">
        <w:rPr>
          <w:rFonts w:ascii="Garamond" w:hAnsi="Garamond"/>
          <w:i/>
          <w:lang w:val="en-US"/>
        </w:rPr>
        <w:t>Yet, since he himself had not committed the wrong, it was regarded as inappropriate to expose him to liability without, at least, retaining for him the option of surrender.</w:t>
      </w:r>
      <w:r w:rsidRPr="00F36D62">
        <w:rPr>
          <w:rFonts w:ascii="Garamond" w:hAnsi="Garamond"/>
          <w:lang w:val="en-US"/>
        </w:rPr>
        <w:t>”</w:t>
      </w:r>
    </w:p>
  </w:footnote>
  <w:footnote w:id="117">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n-US"/>
        </w:rPr>
        <w:t xml:space="preserve"> </w:t>
      </w:r>
      <w:r w:rsidRPr="00F36D62">
        <w:rPr>
          <w:rFonts w:ascii="Garamond" w:hAnsi="Garamond"/>
          <w:smallCaps/>
          <w:lang w:val="en-US"/>
        </w:rPr>
        <w:t>Mommsen</w:t>
      </w:r>
      <w:r w:rsidRPr="00F36D62">
        <w:rPr>
          <w:rFonts w:ascii="Garamond" w:hAnsi="Garamond"/>
          <w:lang w:val="en-US"/>
        </w:rPr>
        <w:t xml:space="preserve">, cit. (n. </w:t>
      </w:r>
      <w:r w:rsidRPr="00F36D62">
        <w:rPr>
          <w:rFonts w:ascii="Garamond" w:hAnsi="Garamond"/>
          <w:lang w:val="es-CL"/>
        </w:rPr>
        <w:fldChar w:fldCharType="begin"/>
      </w:r>
      <w:r w:rsidRPr="00F36D62">
        <w:rPr>
          <w:rFonts w:ascii="Garamond" w:hAnsi="Garamond"/>
          <w:lang w:val="en-US"/>
        </w:rPr>
        <w:instrText xml:space="preserve"> NOTEREF _Ref8907536 \h </w:instrText>
      </w:r>
      <w:r w:rsidRPr="00F36D62">
        <w:rPr>
          <w:rFonts w:ascii="Garamond" w:hAnsi="Garamond"/>
          <w:lang w:val="es-CL"/>
        </w:rPr>
        <w:instrText xml:space="preserve">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n-US"/>
        </w:rPr>
        <w:t>108</w:t>
      </w:r>
      <w:r w:rsidRPr="00F36D62">
        <w:rPr>
          <w:rFonts w:ascii="Garamond" w:hAnsi="Garamond"/>
          <w:lang w:val="es-CL"/>
        </w:rPr>
        <w:fldChar w:fldCharType="end"/>
      </w:r>
      <w:r w:rsidRPr="00F36D62">
        <w:rPr>
          <w:rFonts w:ascii="Garamond" w:hAnsi="Garamond"/>
          <w:lang w:val="en-US"/>
        </w:rPr>
        <w:t xml:space="preserve">), I, p. 19. </w:t>
      </w:r>
      <w:r w:rsidRPr="00F36D62">
        <w:rPr>
          <w:rFonts w:ascii="Garamond" w:hAnsi="Garamond"/>
          <w:lang w:val="es-CL"/>
        </w:rPr>
        <w:t>Por ello, quien estaba sujeto a esta potestad podía ser castigado por su padre o señor o por el Estado (</w:t>
      </w:r>
      <w:r w:rsidRPr="00F36D62">
        <w:rPr>
          <w:rFonts w:ascii="Garamond" w:hAnsi="Garamond"/>
          <w:i/>
          <w:lang w:val="es-CL"/>
        </w:rPr>
        <w:t>vid.</w:t>
      </w:r>
      <w:r w:rsidRPr="00F36D62">
        <w:rPr>
          <w:rFonts w:ascii="Garamond" w:hAnsi="Garamond"/>
          <w:lang w:val="es-CL"/>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 19), aunque la primera hipótesis se caracterizaba por su informalidad (</w:t>
      </w:r>
      <w:r w:rsidRPr="00F36D62">
        <w:rPr>
          <w:rFonts w:ascii="Garamond" w:hAnsi="Garamond"/>
        </w:rPr>
        <w:t xml:space="preserve">así,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xml:space="preserve">], I, p. 22). </w:t>
      </w:r>
      <w:r w:rsidRPr="00F36D62">
        <w:rPr>
          <w:rFonts w:ascii="Garamond" w:hAnsi="Garamond"/>
        </w:rPr>
        <w:t xml:space="preserve">La existencia de límites en el ejercicio de la </w:t>
      </w:r>
      <w:r w:rsidRPr="00F36D62">
        <w:rPr>
          <w:rFonts w:ascii="Garamond" w:hAnsi="Garamond"/>
          <w:i/>
        </w:rPr>
        <w:t>patria potestas</w:t>
      </w:r>
      <w:r w:rsidRPr="00F36D62">
        <w:rPr>
          <w:rFonts w:ascii="Garamond" w:hAnsi="Garamond"/>
        </w:rPr>
        <w:t xml:space="preserve"> es objeto de discusión, cf. </w:t>
      </w:r>
      <w:r w:rsidRPr="00F36D62">
        <w:rPr>
          <w:rFonts w:ascii="Garamond" w:hAnsi="Garamond"/>
          <w:smallCaps/>
        </w:rPr>
        <w:t>Amunátegui Perelló</w:t>
      </w:r>
      <w:r w:rsidRPr="00F36D62">
        <w:rPr>
          <w:rFonts w:ascii="Garamond" w:hAnsi="Garamond"/>
        </w:rPr>
        <w:t xml:space="preserve">, Carlos Felipe, </w:t>
      </w:r>
      <w:r w:rsidRPr="00F36D62">
        <w:rPr>
          <w:rFonts w:ascii="Garamond" w:hAnsi="Garamond"/>
          <w:i/>
        </w:rPr>
        <w:t>El origen de los poderes del “paterfamilias” I: el “paterfamilias” y la “patria potestas”</w:t>
      </w:r>
      <w:r w:rsidRPr="00F36D62">
        <w:rPr>
          <w:rFonts w:ascii="Garamond" w:hAnsi="Garamond"/>
        </w:rPr>
        <w:t xml:space="preserve">, en </w:t>
      </w:r>
      <w:r w:rsidRPr="00F36D62">
        <w:rPr>
          <w:rFonts w:ascii="Garamond" w:hAnsi="Garamond"/>
          <w:i/>
        </w:rPr>
        <w:t>REHJ</w:t>
      </w:r>
      <w:r w:rsidRPr="00F36D62">
        <w:rPr>
          <w:rFonts w:ascii="Garamond" w:hAnsi="Garamond"/>
        </w:rPr>
        <w:t xml:space="preserve">, XXVIII (2006), p. 55 y </w:t>
      </w:r>
      <w:r w:rsidRPr="00F36D62">
        <w:rPr>
          <w:rFonts w:ascii="Garamond" w:hAnsi="Garamond"/>
          <w:i/>
        </w:rPr>
        <w:t>passim</w:t>
      </w:r>
      <w:r w:rsidRPr="00F36D62">
        <w:rPr>
          <w:rFonts w:ascii="Garamond" w:hAnsi="Garamond"/>
        </w:rPr>
        <w:t>.</w:t>
      </w:r>
      <w:r w:rsidRPr="00F36D62">
        <w:rPr>
          <w:rFonts w:ascii="Garamond" w:hAnsi="Garamond"/>
          <w:lang w:val="es-CL"/>
        </w:rPr>
        <w:t xml:space="preserve"> </w:t>
      </w:r>
    </w:p>
  </w:footnote>
  <w:footnote w:id="118">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Si el </w:t>
      </w:r>
      <w:r w:rsidRPr="00F36D62">
        <w:rPr>
          <w:rFonts w:ascii="Garamond" w:hAnsi="Garamond"/>
          <w:i/>
        </w:rPr>
        <w:t xml:space="preserve">pater </w:t>
      </w:r>
      <w:proofErr w:type="spellStart"/>
      <w:r w:rsidRPr="00F36D62">
        <w:rPr>
          <w:rFonts w:ascii="Garamond" w:hAnsi="Garamond"/>
          <w:i/>
        </w:rPr>
        <w:t>familas</w:t>
      </w:r>
      <w:proofErr w:type="spellEnd"/>
      <w:r w:rsidRPr="00F36D62">
        <w:rPr>
          <w:rFonts w:ascii="Garamond" w:hAnsi="Garamond"/>
        </w:rPr>
        <w:t xml:space="preserve"> había sufrido el hurto, era la única alternativa; </w:t>
      </w:r>
      <w:r w:rsidRPr="00F36D62">
        <w:rPr>
          <w:rFonts w:ascii="Garamond" w:hAnsi="Garamond"/>
          <w:i/>
        </w:rPr>
        <w:t>vid.</w:t>
      </w:r>
      <w:r w:rsidRPr="00F36D62">
        <w:rPr>
          <w:rFonts w:ascii="Garamond" w:hAnsi="Garamond"/>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xml:space="preserve">), I, </w:t>
      </w:r>
      <w:r w:rsidRPr="00F36D62">
        <w:rPr>
          <w:rFonts w:ascii="Garamond" w:hAnsi="Garamond"/>
        </w:rPr>
        <w:t xml:space="preserve">p. 24. Si lo era un tercero, la potestad doméstica funcionaba como complemento del derecho penal. Sobre la posibilidad de que la potestad doméstica operara de manera concurrente o en reemplazo del derecho penal, </w:t>
      </w:r>
      <w:r w:rsidRPr="00F36D62">
        <w:rPr>
          <w:rFonts w:ascii="Garamond" w:hAnsi="Garamond"/>
          <w:i/>
        </w:rPr>
        <w:t>vid.</w:t>
      </w:r>
      <w:r w:rsidRPr="00F36D62">
        <w:rPr>
          <w:rFonts w:ascii="Garamond" w:hAnsi="Garamond"/>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 19</w:t>
      </w:r>
      <w:r w:rsidRPr="00F36D62">
        <w:rPr>
          <w:rFonts w:ascii="Garamond" w:hAnsi="Garamond"/>
        </w:rPr>
        <w:t xml:space="preserve">. </w:t>
      </w:r>
    </w:p>
  </w:footnote>
  <w:footnote w:id="11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En este sentido, </w:t>
      </w:r>
      <w:r w:rsidRPr="00F36D62">
        <w:rPr>
          <w:rFonts w:ascii="Garamond" w:hAnsi="Garamond"/>
          <w:smallCaps/>
          <w:lang w:val="es-CL"/>
        </w:rPr>
        <w:t>Birks</w:t>
      </w:r>
      <w:r w:rsidRPr="00F36D62">
        <w:rPr>
          <w:rFonts w:ascii="Garamond" w:hAnsi="Garamond"/>
          <w:lang w:val="es-CL"/>
        </w:rPr>
        <w:t xml:space="preserve">, cit. (n. </w:t>
      </w:r>
      <w:r w:rsidRPr="00F36D62">
        <w:rPr>
          <w:rFonts w:ascii="Garamond" w:hAnsi="Garamond"/>
          <w:lang w:val="en-US"/>
        </w:rPr>
        <w:fldChar w:fldCharType="begin"/>
      </w:r>
      <w:r w:rsidRPr="00F36D62">
        <w:rPr>
          <w:rFonts w:ascii="Garamond" w:hAnsi="Garamond"/>
          <w:lang w:val="es-CL"/>
        </w:rPr>
        <w:instrText xml:space="preserve"> NOTEREF _Ref519785790 \h  \* MERGEFORMAT </w:instrText>
      </w:r>
      <w:r w:rsidRPr="00F36D62">
        <w:rPr>
          <w:rFonts w:ascii="Garamond" w:hAnsi="Garamond"/>
          <w:lang w:val="en-US"/>
        </w:rPr>
      </w:r>
      <w:r w:rsidRPr="00F36D62">
        <w:rPr>
          <w:rFonts w:ascii="Garamond" w:hAnsi="Garamond"/>
          <w:lang w:val="en-US"/>
        </w:rPr>
        <w:fldChar w:fldCharType="separate"/>
      </w:r>
      <w:r w:rsidRPr="00F36D62">
        <w:rPr>
          <w:rFonts w:ascii="Garamond" w:hAnsi="Garamond"/>
          <w:lang w:val="es-CL"/>
        </w:rPr>
        <w:t>104</w:t>
      </w:r>
      <w:r w:rsidRPr="00F36D62">
        <w:rPr>
          <w:rFonts w:ascii="Garamond" w:hAnsi="Garamond"/>
          <w:lang w:val="en-US"/>
        </w:rPr>
        <w:fldChar w:fldCharType="end"/>
      </w:r>
      <w:r w:rsidRPr="00F36D62">
        <w:rPr>
          <w:rFonts w:ascii="Garamond" w:hAnsi="Garamond"/>
          <w:lang w:val="es-CL"/>
        </w:rPr>
        <w:t xml:space="preserve">), p. 178. </w:t>
      </w:r>
    </w:p>
  </w:footnote>
  <w:footnote w:id="120">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 20</w:t>
      </w:r>
      <w:r w:rsidRPr="00F36D62">
        <w:rPr>
          <w:rFonts w:ascii="Garamond" w:hAnsi="Garamond"/>
        </w:rPr>
        <w:t>.</w:t>
      </w:r>
      <w:r w:rsidRPr="00F36D62">
        <w:rPr>
          <w:rFonts w:ascii="Garamond" w:hAnsi="Garamond"/>
          <w:lang w:val="es-CL"/>
        </w:rPr>
        <w:t xml:space="preserve"> Según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pp. 20, 24</w:t>
      </w:r>
      <w:r w:rsidRPr="00F36D62">
        <w:rPr>
          <w:rFonts w:ascii="Garamond" w:hAnsi="Garamond"/>
        </w:rPr>
        <w:t xml:space="preserve">, en el sistema originario la mujer siempre estaba sujeta a potestad ajena y hasta fines de la república la punición de las mujeres sería de cargo del sistema doméstico. </w:t>
      </w:r>
    </w:p>
  </w:footnote>
  <w:footnote w:id="12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En este sentido,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_Ref8907536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108</w:t>
      </w:r>
      <w:r w:rsidRPr="00F36D62">
        <w:rPr>
          <w:rFonts w:ascii="Garamond" w:hAnsi="Garamond"/>
          <w:lang w:val="es-CL"/>
        </w:rPr>
        <w:fldChar w:fldCharType="end"/>
      </w:r>
      <w:r w:rsidRPr="00F36D62">
        <w:rPr>
          <w:rFonts w:ascii="Garamond" w:hAnsi="Garamond"/>
          <w:lang w:val="es-CL"/>
        </w:rPr>
        <w:t>), I, pp. 20-21</w:t>
      </w:r>
      <w:r w:rsidRPr="00F36D62">
        <w:rPr>
          <w:rFonts w:ascii="Garamond" w:hAnsi="Garamond"/>
        </w:rPr>
        <w:t xml:space="preserve">. </w:t>
      </w:r>
      <w:r w:rsidRPr="00F36D62">
        <w:rPr>
          <w:rFonts w:ascii="Garamond" w:hAnsi="Garamond"/>
          <w:smallCaps/>
        </w:rPr>
        <w:t>Amunátegui Perelló</w:t>
      </w:r>
      <w:r w:rsidRPr="00F36D62">
        <w:rPr>
          <w:rFonts w:ascii="Garamond" w:hAnsi="Garamond"/>
        </w:rPr>
        <w:t xml:space="preserve">, Carlos Felipe, </w:t>
      </w:r>
      <w:r w:rsidRPr="00F36D62">
        <w:rPr>
          <w:rFonts w:ascii="Garamond" w:hAnsi="Garamond"/>
          <w:i/>
        </w:rPr>
        <w:t>El origen de los poderes del “paterfamilias”, II: el “paterfamilias” y la “manus”,</w:t>
      </w:r>
      <w:r w:rsidRPr="00F36D62">
        <w:rPr>
          <w:rFonts w:ascii="Garamond" w:hAnsi="Garamond"/>
        </w:rPr>
        <w:t xml:space="preserve"> en </w:t>
      </w:r>
      <w:r w:rsidRPr="00F36D62">
        <w:rPr>
          <w:rFonts w:ascii="Garamond" w:hAnsi="Garamond"/>
          <w:i/>
        </w:rPr>
        <w:t>REHJ</w:t>
      </w:r>
      <w:r w:rsidRPr="00F36D62">
        <w:rPr>
          <w:rFonts w:ascii="Garamond" w:hAnsi="Garamond"/>
        </w:rPr>
        <w:t xml:space="preserve">, XXIX (2007), p. 113 sostiene que “el trabajo de recopilar y estudiar las situaciones en que las mujeres casadas recibieron algún tipo de acción disciplinaria, sea de parte de los maridos, sea de parte de la ciudad, es muy ardua”, concluyendo más adelante que, “al estudiar la naturaleza y extensión de los poderes del marido, vemos que no resisten comparación con la </w:t>
      </w:r>
      <w:r w:rsidRPr="00F36D62">
        <w:rPr>
          <w:rFonts w:ascii="Garamond" w:hAnsi="Garamond"/>
          <w:i/>
        </w:rPr>
        <w:t>manus</w:t>
      </w:r>
      <w:r w:rsidRPr="00F36D62">
        <w:rPr>
          <w:rFonts w:ascii="Garamond" w:hAnsi="Garamond"/>
        </w:rPr>
        <w:t xml:space="preserve">; al marido, tanto </w:t>
      </w:r>
      <w:proofErr w:type="spellStart"/>
      <w:r w:rsidRPr="00F36D62">
        <w:rPr>
          <w:rFonts w:ascii="Garamond" w:hAnsi="Garamond"/>
          <w:i/>
        </w:rPr>
        <w:t>ius</w:t>
      </w:r>
      <w:proofErr w:type="spellEnd"/>
      <w:r w:rsidRPr="00F36D62">
        <w:rPr>
          <w:rFonts w:ascii="Garamond" w:hAnsi="Garamond"/>
          <w:i/>
        </w:rPr>
        <w:t xml:space="preserve"> noxae dandi</w:t>
      </w:r>
      <w:r w:rsidRPr="00F36D62">
        <w:rPr>
          <w:rFonts w:ascii="Garamond" w:hAnsi="Garamond"/>
        </w:rPr>
        <w:t xml:space="preserve"> como el </w:t>
      </w:r>
      <w:proofErr w:type="spellStart"/>
      <w:r w:rsidRPr="00F36D62">
        <w:rPr>
          <w:rFonts w:ascii="Garamond" w:hAnsi="Garamond"/>
          <w:i/>
        </w:rPr>
        <w:t>ius</w:t>
      </w:r>
      <w:proofErr w:type="spellEnd"/>
      <w:r w:rsidRPr="00F36D62">
        <w:rPr>
          <w:rFonts w:ascii="Garamond" w:hAnsi="Garamond"/>
          <w:i/>
        </w:rPr>
        <w:t xml:space="preserve"> vendendi</w:t>
      </w:r>
      <w:r w:rsidRPr="00F36D62">
        <w:rPr>
          <w:rFonts w:ascii="Garamond" w:hAnsi="Garamond"/>
        </w:rPr>
        <w:t xml:space="preserve"> le están vedados” (p. 160). </w:t>
      </w:r>
    </w:p>
  </w:footnote>
  <w:footnote w:id="122">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xml:space="preserve">), II, p. 215. Destaca también el carácter infamante,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250. </w:t>
      </w:r>
    </w:p>
  </w:footnote>
  <w:footnote w:id="123">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lang w:val="es-CL"/>
        </w:rPr>
        <w:t xml:space="preserve"> Cf.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II, pp. 220-221. En las fuentes, esta idea se recoge de distintas maneras (“</w:t>
      </w:r>
      <w:r w:rsidRPr="00F36D62">
        <w:rPr>
          <w:rFonts w:ascii="Garamond" w:hAnsi="Garamond"/>
          <w:i/>
          <w:lang w:val="es-CL"/>
        </w:rPr>
        <w:t>en honor del matrimonio</w:t>
      </w:r>
      <w:r w:rsidRPr="00F36D62">
        <w:rPr>
          <w:rFonts w:ascii="Garamond" w:hAnsi="Garamond"/>
          <w:lang w:val="es-CL"/>
        </w:rPr>
        <w:t>” en D. 25. 2. 2; “</w:t>
      </w:r>
      <w:r w:rsidRPr="00F36D62">
        <w:rPr>
          <w:rFonts w:ascii="Garamond" w:hAnsi="Garamond"/>
          <w:i/>
          <w:lang w:val="es-CL"/>
        </w:rPr>
        <w:t>por consideración a las personas</w:t>
      </w:r>
      <w:r w:rsidRPr="00F36D62">
        <w:rPr>
          <w:rFonts w:ascii="Garamond" w:hAnsi="Garamond"/>
          <w:lang w:val="es-CL"/>
        </w:rPr>
        <w:t xml:space="preserve">”, D. 25, 2, 3). Asimismo, aunque en algunos pasajes se deja entrever cierta discrepancia (así, D. 25, 2, 1), en general se afirma que en estos casos hay hurto (cf. D. 25, 2, 1; D. 25, 2, 15; D. 25, 2, 29). </w:t>
      </w:r>
    </w:p>
  </w:footnote>
  <w:footnote w:id="124">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Esta acción se extendió luego jurisprudencialmente, como </w:t>
      </w:r>
      <w:r w:rsidRPr="00F36D62">
        <w:rPr>
          <w:rFonts w:ascii="Garamond" w:hAnsi="Garamond"/>
          <w:i/>
        </w:rPr>
        <w:t>condictio furtiva</w:t>
      </w:r>
      <w:r w:rsidRPr="00F36D62">
        <w:rPr>
          <w:rFonts w:ascii="Garamond" w:hAnsi="Garamond"/>
        </w:rPr>
        <w:t xml:space="preserve">, respecto de terceros; </w:t>
      </w:r>
      <w:r w:rsidRPr="00F36D62">
        <w:rPr>
          <w:rFonts w:ascii="Garamond" w:hAnsi="Garamond"/>
          <w:i/>
        </w:rPr>
        <w:t>vid.</w:t>
      </w:r>
      <w:r w:rsidRPr="00F36D62">
        <w:rPr>
          <w:rFonts w:ascii="Garamond" w:hAnsi="Garamond"/>
        </w:rPr>
        <w:t xml:space="preserve"> </w:t>
      </w:r>
      <w:r w:rsidRPr="00F36D62">
        <w:rPr>
          <w:rFonts w:ascii="Garamond" w:hAnsi="Garamond"/>
          <w:smallCaps/>
          <w:lang w:val="es-CL"/>
        </w:rPr>
        <w:t>Mommsen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_Ref7381271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85</w:t>
      </w:r>
      <w:r w:rsidRPr="00F36D62">
        <w:rPr>
          <w:rFonts w:ascii="Garamond" w:hAnsi="Garamond"/>
          <w:lang w:val="es-CL"/>
        </w:rPr>
        <w:fldChar w:fldCharType="end"/>
      </w:r>
      <w:r w:rsidRPr="00F36D62">
        <w:rPr>
          <w:rFonts w:ascii="Garamond" w:hAnsi="Garamond"/>
          <w:lang w:val="es-CL"/>
        </w:rPr>
        <w:t xml:space="preserve">), II, </w:t>
      </w:r>
      <w:r w:rsidRPr="00F36D62">
        <w:rPr>
          <w:rFonts w:ascii="Garamond" w:hAnsi="Garamond"/>
        </w:rPr>
        <w:t xml:space="preserve">p. 221; </w:t>
      </w:r>
      <w:r w:rsidRPr="00F36D62">
        <w:rPr>
          <w:rFonts w:ascii="Garamond" w:hAnsi="Garamond"/>
          <w:smallCaps/>
          <w:lang w:val="es-CL"/>
        </w:rPr>
        <w:t>Guzmán</w:t>
      </w:r>
      <w:r w:rsidRPr="00F36D62">
        <w:rPr>
          <w:rFonts w:ascii="Garamond" w:hAnsi="Garamond"/>
          <w:lang w:val="es-CL"/>
        </w:rPr>
        <w:t xml:space="preserve">, cit. (n. </w:t>
      </w:r>
      <w:r w:rsidRPr="00F36D62">
        <w:rPr>
          <w:rFonts w:ascii="Garamond" w:hAnsi="Garamond"/>
          <w:lang w:val="es-CL"/>
        </w:rPr>
        <w:fldChar w:fldCharType="begin"/>
      </w:r>
      <w:r w:rsidRPr="00F36D62">
        <w:rPr>
          <w:rFonts w:ascii="Garamond" w:hAnsi="Garamond"/>
          <w:lang w:val="es-CL"/>
        </w:rPr>
        <w:instrText xml:space="preserve"> NOTEREF _Ref7387440 \h  \* MERGEFORMAT </w:instrText>
      </w:r>
      <w:r w:rsidRPr="00F36D62">
        <w:rPr>
          <w:rFonts w:ascii="Garamond" w:hAnsi="Garamond"/>
          <w:lang w:val="es-CL"/>
        </w:rPr>
      </w:r>
      <w:r w:rsidRPr="00F36D62">
        <w:rPr>
          <w:rFonts w:ascii="Garamond" w:hAnsi="Garamond"/>
          <w:lang w:val="es-CL"/>
        </w:rPr>
        <w:fldChar w:fldCharType="separate"/>
      </w:r>
      <w:r w:rsidRPr="00F36D62">
        <w:rPr>
          <w:rFonts w:ascii="Garamond" w:hAnsi="Garamond"/>
          <w:lang w:val="es-CL"/>
        </w:rPr>
        <w:t>91</w:t>
      </w:r>
      <w:r w:rsidRPr="00F36D62">
        <w:rPr>
          <w:rFonts w:ascii="Garamond" w:hAnsi="Garamond"/>
          <w:lang w:val="es-CL"/>
        </w:rPr>
        <w:fldChar w:fldCharType="end"/>
      </w:r>
      <w:r w:rsidRPr="00F36D62">
        <w:rPr>
          <w:rFonts w:ascii="Garamond" w:hAnsi="Garamond"/>
          <w:lang w:val="es-CL"/>
        </w:rPr>
        <w:t xml:space="preserve">), II, p. 252. </w:t>
      </w:r>
    </w:p>
  </w:footnote>
  <w:footnote w:id="125">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Por el caso de la participación, </w:t>
      </w:r>
      <w:r w:rsidRPr="00F36D62">
        <w:rPr>
          <w:rFonts w:ascii="Garamond" w:hAnsi="Garamond"/>
          <w:i/>
        </w:rPr>
        <w:t>vid.</w:t>
      </w:r>
      <w:r w:rsidRPr="00F36D62">
        <w:rPr>
          <w:rFonts w:ascii="Garamond" w:hAnsi="Garamond"/>
        </w:rPr>
        <w:t xml:space="preserve"> D. 25, 2, 19-20. </w:t>
      </w:r>
    </w:p>
  </w:footnote>
  <w:footnote w:id="126">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Por la (extendida) recepción de la regla en el derecho comparado, </w:t>
      </w:r>
      <w:r w:rsidRPr="00F36D62">
        <w:rPr>
          <w:rFonts w:ascii="Garamond" w:hAnsi="Garamond"/>
          <w:i/>
        </w:rPr>
        <w:t>vid.</w:t>
      </w:r>
      <w:r w:rsidRPr="00F36D62">
        <w:rPr>
          <w:rFonts w:ascii="Garamond" w:hAnsi="Garamond"/>
        </w:rPr>
        <w:t xml:space="preserve"> </w:t>
      </w:r>
      <w:r w:rsidRPr="00F36D62">
        <w:rPr>
          <w:rFonts w:ascii="Garamond" w:hAnsi="Garamond"/>
          <w:smallCaps/>
        </w:rPr>
        <w:t>Oliver Calderón</w:t>
      </w:r>
      <w:r w:rsidRPr="00F36D62">
        <w:rPr>
          <w:rFonts w:ascii="Garamond" w:hAnsi="Garamond"/>
        </w:rPr>
        <w:t xml:space="preserve">, Guillermo, </w:t>
      </w:r>
      <w:r w:rsidRPr="00F36D62">
        <w:rPr>
          <w:rFonts w:ascii="Garamond" w:hAnsi="Garamond"/>
          <w:i/>
        </w:rPr>
        <w:t>Delitos contra la propiedad</w:t>
      </w:r>
      <w:r w:rsidRPr="00F36D62">
        <w:rPr>
          <w:rFonts w:ascii="Garamond" w:hAnsi="Garamond"/>
        </w:rPr>
        <w:t xml:space="preserve"> (Santiago, Legal Publishing, Thomson Reuters, 2013), p. 154.</w:t>
      </w:r>
    </w:p>
  </w:footnote>
  <w:footnote w:id="127">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3</w:t>
      </w:r>
      <w:r w:rsidRPr="00F36D62">
        <w:rPr>
          <w:rFonts w:ascii="Garamond" w:hAnsi="Garamond"/>
        </w:rPr>
        <w:fldChar w:fldCharType="end"/>
      </w:r>
      <w:r w:rsidRPr="00F36D62">
        <w:rPr>
          <w:rFonts w:ascii="Garamond" w:hAnsi="Garamond"/>
          <w:lang w:val="es-CL"/>
        </w:rPr>
        <w:t xml:space="preserve">), p. 469; </w:t>
      </w:r>
      <w:r w:rsidRPr="00F36D62">
        <w:rPr>
          <w:rFonts w:ascii="Garamond" w:hAnsi="Garamond"/>
          <w:smallCaps/>
          <w:lang w:val="es-CL"/>
        </w:rPr>
        <w:t>Etcheberry</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II, p. 12;</w:t>
      </w:r>
      <w:r w:rsidRPr="00F36D62">
        <w:rPr>
          <w:rFonts w:ascii="Garamond" w:hAnsi="Garamond"/>
          <w:lang w:val="es-CL"/>
        </w:rPr>
        <w:t xml:space="preserve"> </w:t>
      </w:r>
      <w:r w:rsidRPr="00F36D62">
        <w:rPr>
          <w:rFonts w:ascii="Garamond" w:hAnsi="Garamond"/>
          <w:smallCaps/>
        </w:rPr>
        <w:t>Garrido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xml:space="preserve">), II, p. 327; </w:t>
      </w:r>
      <w:r w:rsidRPr="00F36D62">
        <w:rPr>
          <w:rFonts w:ascii="Garamond" w:hAnsi="Garamond"/>
          <w:smallCaps/>
        </w:rPr>
        <w:t>Oliver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_Ref7390220 \h  \* MERGEFORMAT </w:instrText>
      </w:r>
      <w:r w:rsidRPr="00F36D62">
        <w:rPr>
          <w:rFonts w:ascii="Garamond" w:hAnsi="Garamond"/>
        </w:rPr>
      </w:r>
      <w:r w:rsidRPr="00F36D62">
        <w:rPr>
          <w:rFonts w:ascii="Garamond" w:hAnsi="Garamond"/>
        </w:rPr>
        <w:fldChar w:fldCharType="separate"/>
      </w:r>
      <w:r w:rsidRPr="00F36D62">
        <w:rPr>
          <w:rFonts w:ascii="Garamond" w:hAnsi="Garamond"/>
        </w:rPr>
        <w:t>126</w:t>
      </w:r>
      <w:r w:rsidRPr="00F36D62">
        <w:rPr>
          <w:rFonts w:ascii="Garamond" w:hAnsi="Garamond"/>
        </w:rPr>
        <w:fldChar w:fldCharType="end"/>
      </w:r>
      <w:r w:rsidRPr="00F36D62">
        <w:rPr>
          <w:rFonts w:ascii="Garamond" w:hAnsi="Garamond"/>
        </w:rPr>
        <w:t xml:space="preserve">), p. 154. </w:t>
      </w:r>
    </w:p>
  </w:footnote>
  <w:footnote w:id="128">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Oliver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_Ref7390220 \h  \* MERGEFORMAT </w:instrText>
      </w:r>
      <w:r w:rsidRPr="00F36D62">
        <w:rPr>
          <w:rFonts w:ascii="Garamond" w:hAnsi="Garamond"/>
        </w:rPr>
      </w:r>
      <w:r w:rsidRPr="00F36D62">
        <w:rPr>
          <w:rFonts w:ascii="Garamond" w:hAnsi="Garamond"/>
        </w:rPr>
        <w:fldChar w:fldCharType="separate"/>
      </w:r>
      <w:r w:rsidRPr="00F36D62">
        <w:rPr>
          <w:rFonts w:ascii="Garamond" w:hAnsi="Garamond"/>
        </w:rPr>
        <w:t>126</w:t>
      </w:r>
      <w:r w:rsidRPr="00F36D62">
        <w:rPr>
          <w:rFonts w:ascii="Garamond" w:hAnsi="Garamond"/>
        </w:rPr>
        <w:fldChar w:fldCharType="end"/>
      </w:r>
      <w:r w:rsidRPr="00F36D62">
        <w:rPr>
          <w:rFonts w:ascii="Garamond" w:hAnsi="Garamond"/>
        </w:rPr>
        <w:t xml:space="preserve">), p. 154. </w:t>
      </w:r>
      <w:r w:rsidRPr="00F36D62">
        <w:rPr>
          <w:rFonts w:ascii="Garamond" w:hAnsi="Garamond"/>
          <w:i/>
        </w:rPr>
        <w:t>Vid.</w:t>
      </w:r>
      <w:r w:rsidRPr="00F36D62">
        <w:rPr>
          <w:rFonts w:ascii="Garamond" w:hAnsi="Garamond"/>
        </w:rPr>
        <w:t xml:space="preserve">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3</w:t>
      </w:r>
      <w:r w:rsidRPr="00F36D62">
        <w:rPr>
          <w:rFonts w:ascii="Garamond" w:hAnsi="Garamond"/>
        </w:rPr>
        <w:fldChar w:fldCharType="end"/>
      </w:r>
      <w:r w:rsidRPr="00F36D62">
        <w:rPr>
          <w:rFonts w:ascii="Garamond" w:hAnsi="Garamond"/>
          <w:lang w:val="es-CL"/>
        </w:rPr>
        <w:t xml:space="preserve">), pp. 468-469; </w:t>
      </w:r>
      <w:r w:rsidRPr="00F36D62">
        <w:rPr>
          <w:rFonts w:ascii="Garamond" w:hAnsi="Garamond"/>
          <w:smallCaps/>
          <w:lang w:val="es-CL"/>
        </w:rPr>
        <w:t>Etcheberry</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II, p. 9</w:t>
      </w:r>
      <w:r w:rsidRPr="00F36D62">
        <w:rPr>
          <w:rFonts w:ascii="Garamond" w:hAnsi="Garamond"/>
          <w:lang w:val="es-CL"/>
        </w:rPr>
        <w:t xml:space="preserve">. </w:t>
      </w:r>
    </w:p>
  </w:footnote>
  <w:footnote w:id="129">
    <w:p w:rsidR="00306473" w:rsidRPr="00F36D62"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Un vestigio, sin embargo, puede estimarse el artículo 116 del Código Procesal Penal, que prohíbe la interposición de querella por delitos de acción pública o privada a ciertos familiares. </w:t>
      </w:r>
    </w:p>
  </w:footnote>
  <w:footnote w:id="130">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w:t>
      </w:r>
      <w:r w:rsidRPr="00F36D62">
        <w:rPr>
          <w:rFonts w:ascii="Garamond" w:hAnsi="Garamond"/>
          <w:smallCaps/>
        </w:rPr>
        <w:t>Oliver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_Ref7390220 \h  \* MERGEFORMAT </w:instrText>
      </w:r>
      <w:r w:rsidRPr="00F36D62">
        <w:rPr>
          <w:rFonts w:ascii="Garamond" w:hAnsi="Garamond"/>
        </w:rPr>
      </w:r>
      <w:r w:rsidRPr="00F36D62">
        <w:rPr>
          <w:rFonts w:ascii="Garamond" w:hAnsi="Garamond"/>
        </w:rPr>
        <w:fldChar w:fldCharType="separate"/>
      </w:r>
      <w:r w:rsidRPr="00F36D62">
        <w:rPr>
          <w:rFonts w:ascii="Garamond" w:hAnsi="Garamond"/>
        </w:rPr>
        <w:t>126</w:t>
      </w:r>
      <w:r w:rsidRPr="00F36D62">
        <w:rPr>
          <w:rFonts w:ascii="Garamond" w:hAnsi="Garamond"/>
        </w:rPr>
        <w:fldChar w:fldCharType="end"/>
      </w:r>
      <w:r w:rsidRPr="00F36D62">
        <w:rPr>
          <w:rFonts w:ascii="Garamond" w:hAnsi="Garamond"/>
        </w:rPr>
        <w:t xml:space="preserve">), p. 156, explicitando el vínculo con el principio de subsidiariedad de la intervención penal; por la primera idea,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3</w:t>
      </w:r>
      <w:r w:rsidRPr="00F36D62">
        <w:rPr>
          <w:rFonts w:ascii="Garamond" w:hAnsi="Garamond"/>
        </w:rPr>
        <w:fldChar w:fldCharType="end"/>
      </w:r>
      <w:r w:rsidRPr="00F36D62">
        <w:rPr>
          <w:rFonts w:ascii="Garamond" w:hAnsi="Garamond"/>
          <w:lang w:val="es-CL"/>
        </w:rPr>
        <w:t xml:space="preserve">), p. 469; </w:t>
      </w:r>
      <w:r w:rsidRPr="00F36D62">
        <w:rPr>
          <w:rFonts w:ascii="Garamond" w:hAnsi="Garamond"/>
          <w:smallCaps/>
          <w:lang w:val="es-CL"/>
        </w:rPr>
        <w:t>Etcheberry</w:t>
      </w:r>
      <w:r w:rsidRPr="00F36D62">
        <w:rPr>
          <w:rFonts w:ascii="Garamond" w:hAnsi="Garamond"/>
          <w:lang w:val="es-CL"/>
        </w:rPr>
        <w:t xml:space="preserve">, cit. (n.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II, p. 12</w:t>
      </w:r>
      <w:r w:rsidRPr="00F36D62">
        <w:rPr>
          <w:rFonts w:ascii="Garamond" w:hAnsi="Garamond"/>
          <w:lang w:val="es-CL"/>
        </w:rPr>
        <w:t xml:space="preserve">. </w:t>
      </w:r>
      <w:r w:rsidRPr="00F36D62">
        <w:rPr>
          <w:rFonts w:ascii="Garamond" w:hAnsi="Garamond"/>
        </w:rPr>
        <w:t xml:space="preserve"> </w:t>
      </w:r>
    </w:p>
  </w:footnote>
  <w:footnote w:id="131">
    <w:p w:rsidR="00306473" w:rsidRPr="00F36D62" w:rsidRDefault="00306473" w:rsidP="00E229F1">
      <w:pPr>
        <w:pStyle w:val="Textonotapie"/>
        <w:rPr>
          <w:rFonts w:ascii="Garamond" w:hAnsi="Garamond"/>
        </w:rPr>
      </w:pPr>
      <w:r w:rsidRPr="00F36D62">
        <w:rPr>
          <w:rStyle w:val="Refdenotaalpie"/>
          <w:rFonts w:ascii="Garamond" w:hAnsi="Garamond"/>
        </w:rPr>
        <w:footnoteRef/>
      </w:r>
      <w:r w:rsidRPr="00F36D62">
        <w:rPr>
          <w:rFonts w:ascii="Garamond" w:hAnsi="Garamond"/>
        </w:rPr>
        <w:t xml:space="preserve"> Así, </w:t>
      </w:r>
      <w:r w:rsidRPr="00F36D62">
        <w:rPr>
          <w:rFonts w:ascii="Garamond" w:hAnsi="Garamond"/>
          <w:smallCaps/>
        </w:rPr>
        <w:t>Oliver</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_Ref7390220 \h  \* MERGEFORMAT </w:instrText>
      </w:r>
      <w:r w:rsidRPr="00F36D62">
        <w:rPr>
          <w:rFonts w:ascii="Garamond" w:hAnsi="Garamond"/>
        </w:rPr>
      </w:r>
      <w:r w:rsidRPr="00F36D62">
        <w:rPr>
          <w:rFonts w:ascii="Garamond" w:hAnsi="Garamond"/>
        </w:rPr>
        <w:fldChar w:fldCharType="separate"/>
      </w:r>
      <w:r w:rsidRPr="00F36D62">
        <w:rPr>
          <w:rFonts w:ascii="Garamond" w:hAnsi="Garamond"/>
        </w:rPr>
        <w:t>126</w:t>
      </w:r>
      <w:r w:rsidRPr="00F36D62">
        <w:rPr>
          <w:rFonts w:ascii="Garamond" w:hAnsi="Garamond"/>
        </w:rPr>
        <w:fldChar w:fldCharType="end"/>
      </w:r>
      <w:r w:rsidRPr="00F36D62">
        <w:rPr>
          <w:rFonts w:ascii="Garamond" w:hAnsi="Garamond"/>
        </w:rPr>
        <w:t xml:space="preserve">), p. 156. </w:t>
      </w:r>
    </w:p>
  </w:footnote>
  <w:footnote w:id="132">
    <w:p w:rsidR="00306473" w:rsidRPr="00D77B97" w:rsidRDefault="00306473" w:rsidP="00E229F1">
      <w:pPr>
        <w:pStyle w:val="Textonotapie"/>
        <w:rPr>
          <w:rFonts w:ascii="Garamond" w:hAnsi="Garamond"/>
          <w:lang w:val="es-CL"/>
        </w:rPr>
      </w:pPr>
      <w:r w:rsidRPr="00F36D62">
        <w:rPr>
          <w:rStyle w:val="Refdenotaalpie"/>
          <w:rFonts w:ascii="Garamond" w:hAnsi="Garamond"/>
        </w:rPr>
        <w:footnoteRef/>
      </w:r>
      <w:r w:rsidRPr="00F36D62">
        <w:rPr>
          <w:rFonts w:ascii="Garamond" w:hAnsi="Garamond"/>
        </w:rPr>
        <w:t xml:space="preserve"> En términos generales, </w:t>
      </w:r>
      <w:r w:rsidRPr="00F36D62">
        <w:rPr>
          <w:rFonts w:ascii="Garamond" w:hAnsi="Garamond"/>
          <w:smallCaps/>
        </w:rPr>
        <w:t>Cury</w:t>
      </w:r>
      <w:r w:rsidRPr="00F36D62">
        <w:rPr>
          <w:rFonts w:ascii="Garamond" w:hAnsi="Garamond"/>
        </w:rPr>
        <w:t xml:space="preserve">, </w:t>
      </w:r>
      <w:r w:rsidRPr="00F36D62">
        <w:rPr>
          <w:rFonts w:ascii="Garamond" w:hAnsi="Garamond"/>
          <w:i/>
        </w:rPr>
        <w:t>Derecho Penal</w:t>
      </w:r>
      <w:r w:rsidRPr="00F36D62">
        <w:rPr>
          <w:rFonts w:ascii="Garamond" w:hAnsi="Garamond"/>
        </w:rPr>
        <w:t xml:space="preserve">, cit. </w:t>
      </w:r>
      <w:r w:rsidRPr="00F36D62">
        <w:rPr>
          <w:rFonts w:ascii="Garamond" w:hAnsi="Garamond"/>
          <w:lang w:val="es-CL"/>
        </w:rPr>
        <w:t xml:space="preserve">(n. </w:t>
      </w:r>
      <w:r w:rsidRPr="00F36D62">
        <w:rPr>
          <w:rFonts w:ascii="Garamond" w:hAnsi="Garamond"/>
        </w:rPr>
        <w:fldChar w:fldCharType="begin"/>
      </w:r>
      <w:r w:rsidRPr="00F36D62">
        <w:rPr>
          <w:rFonts w:ascii="Garamond" w:hAnsi="Garamond"/>
          <w:lang w:val="es-CL"/>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lang w:val="es-CL"/>
        </w:rPr>
        <w:t>3</w:t>
      </w:r>
      <w:r w:rsidRPr="00F36D62">
        <w:rPr>
          <w:rFonts w:ascii="Garamond" w:hAnsi="Garamond"/>
        </w:rPr>
        <w:fldChar w:fldCharType="end"/>
      </w:r>
      <w:r w:rsidRPr="00F36D62">
        <w:rPr>
          <w:rFonts w:ascii="Garamond" w:hAnsi="Garamond"/>
          <w:lang w:val="es-CL"/>
        </w:rPr>
        <w:t xml:space="preserve">), p. 468; </w:t>
      </w:r>
      <w:r w:rsidRPr="00F36D62">
        <w:rPr>
          <w:rFonts w:ascii="Garamond" w:hAnsi="Garamond"/>
          <w:smallCaps/>
        </w:rPr>
        <w:t>Garrido</w:t>
      </w:r>
      <w:r w:rsidRPr="00F36D62">
        <w:rPr>
          <w:rFonts w:ascii="Garamond" w:hAnsi="Garamond"/>
        </w:rPr>
        <w:t xml:space="preserve">, cit. (n. </w:t>
      </w:r>
      <w:r w:rsidRPr="00F36D62">
        <w:rPr>
          <w:rFonts w:ascii="Garamond" w:hAnsi="Garamond"/>
        </w:rPr>
        <w:fldChar w:fldCharType="begin"/>
      </w:r>
      <w:r w:rsidRPr="00F36D62">
        <w:rPr>
          <w:rFonts w:ascii="Garamond" w:hAnsi="Garamond"/>
        </w:rPr>
        <w:instrText xml:space="preserve"> NOTEREF _Ref7352016 \h  \* MERGEFORMAT </w:instrText>
      </w:r>
      <w:r w:rsidRPr="00F36D62">
        <w:rPr>
          <w:rFonts w:ascii="Garamond" w:hAnsi="Garamond"/>
        </w:rPr>
      </w:r>
      <w:r w:rsidRPr="00F36D62">
        <w:rPr>
          <w:rFonts w:ascii="Garamond" w:hAnsi="Garamond"/>
        </w:rPr>
        <w:fldChar w:fldCharType="separate"/>
      </w:r>
      <w:r w:rsidRPr="00F36D62">
        <w:rPr>
          <w:rFonts w:ascii="Garamond" w:hAnsi="Garamond"/>
        </w:rPr>
        <w:t>3</w:t>
      </w:r>
      <w:r w:rsidRPr="00F36D62">
        <w:rPr>
          <w:rFonts w:ascii="Garamond" w:hAnsi="Garamond"/>
        </w:rPr>
        <w:fldChar w:fldCharType="end"/>
      </w:r>
      <w:r w:rsidRPr="00F36D62">
        <w:rPr>
          <w:rFonts w:ascii="Garamond" w:hAnsi="Garamond"/>
        </w:rPr>
        <w:t>), II, pp. 325, 327</w:t>
      </w:r>
      <w:r w:rsidRPr="00F36D62">
        <w:rPr>
          <w:rFonts w:ascii="Garamond" w:hAnsi="Garamond"/>
          <w:lang w:val="es-CL"/>
        </w:rPr>
        <w:t>.</w:t>
      </w:r>
      <w:bookmarkStart w:id="41" w:name="_GoBack"/>
      <w:bookmarkEnd w:id="41"/>
      <w:r w:rsidRPr="00D77B97">
        <w:rPr>
          <w:rFonts w:ascii="Garamond" w:hAnsi="Garamond"/>
          <w:lang w:val="es-C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6CC2F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4801F20"/>
    <w:multiLevelType w:val="hybridMultilevel"/>
    <w:tmpl w:val="DE5043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9EE17E1"/>
    <w:multiLevelType w:val="hybridMultilevel"/>
    <w:tmpl w:val="F00EF646"/>
    <w:lvl w:ilvl="0" w:tplc="E7124ED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45230C38"/>
    <w:multiLevelType w:val="hybridMultilevel"/>
    <w:tmpl w:val="AFD2B528"/>
    <w:lvl w:ilvl="0" w:tplc="39C6D12A">
      <w:start w:val="1"/>
      <w:numFmt w:val="upperRoman"/>
      <w:lvlText w:val="%1."/>
      <w:lvlJc w:val="left"/>
      <w:pPr>
        <w:ind w:left="1429" w:hanging="72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
    <w:nsid w:val="4C9529B6"/>
    <w:multiLevelType w:val="hybridMultilevel"/>
    <w:tmpl w:val="AF304A20"/>
    <w:lvl w:ilvl="0" w:tplc="340A000F">
      <w:start w:val="1"/>
      <w:numFmt w:val="decimal"/>
      <w:lvlText w:val="%1."/>
      <w:lvlJc w:val="left"/>
      <w:pPr>
        <w:ind w:left="720" w:hanging="360"/>
      </w:pPr>
      <w:rPr>
        <w:rFonts w:hint="default"/>
      </w:rPr>
    </w:lvl>
    <w:lvl w:ilvl="1" w:tplc="35CC59F0">
      <w:start w:val="1"/>
      <w:numFmt w:val="lowerLetter"/>
      <w:lvlText w:val="%2."/>
      <w:lvlJc w:val="left"/>
      <w:pPr>
        <w:ind w:left="1440" w:hanging="360"/>
      </w:pPr>
      <w:rPr>
        <w:i w:val="0"/>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F1"/>
    <w:rsid w:val="00023B82"/>
    <w:rsid w:val="00083A3A"/>
    <w:rsid w:val="000A4447"/>
    <w:rsid w:val="000B5890"/>
    <w:rsid w:val="000C3C7F"/>
    <w:rsid w:val="000C4197"/>
    <w:rsid w:val="000C59BD"/>
    <w:rsid w:val="00100410"/>
    <w:rsid w:val="00114806"/>
    <w:rsid w:val="0014662F"/>
    <w:rsid w:val="001A6DF4"/>
    <w:rsid w:val="001C3379"/>
    <w:rsid w:val="001F4643"/>
    <w:rsid w:val="00223A80"/>
    <w:rsid w:val="00250FCD"/>
    <w:rsid w:val="002D6215"/>
    <w:rsid w:val="0030253C"/>
    <w:rsid w:val="00304C0F"/>
    <w:rsid w:val="00306473"/>
    <w:rsid w:val="003311B2"/>
    <w:rsid w:val="00331645"/>
    <w:rsid w:val="003B7EB6"/>
    <w:rsid w:val="00413CF9"/>
    <w:rsid w:val="004512FC"/>
    <w:rsid w:val="0046764E"/>
    <w:rsid w:val="00476E5E"/>
    <w:rsid w:val="005772B0"/>
    <w:rsid w:val="00597199"/>
    <w:rsid w:val="005C5435"/>
    <w:rsid w:val="00610274"/>
    <w:rsid w:val="00635FF0"/>
    <w:rsid w:val="006612D8"/>
    <w:rsid w:val="006814A5"/>
    <w:rsid w:val="006E4F51"/>
    <w:rsid w:val="00767D7B"/>
    <w:rsid w:val="00833F7C"/>
    <w:rsid w:val="0084167E"/>
    <w:rsid w:val="008E1838"/>
    <w:rsid w:val="009055D8"/>
    <w:rsid w:val="00924D71"/>
    <w:rsid w:val="0092676B"/>
    <w:rsid w:val="009F0159"/>
    <w:rsid w:val="009F7658"/>
    <w:rsid w:val="00A04C38"/>
    <w:rsid w:val="00A32102"/>
    <w:rsid w:val="00A36B88"/>
    <w:rsid w:val="00A40BDE"/>
    <w:rsid w:val="00A57B11"/>
    <w:rsid w:val="00A94C72"/>
    <w:rsid w:val="00AC39E1"/>
    <w:rsid w:val="00AE05A7"/>
    <w:rsid w:val="00B30909"/>
    <w:rsid w:val="00B313B8"/>
    <w:rsid w:val="00B75A7D"/>
    <w:rsid w:val="00BC1810"/>
    <w:rsid w:val="00C400DC"/>
    <w:rsid w:val="00C4486B"/>
    <w:rsid w:val="00C971AA"/>
    <w:rsid w:val="00D551EC"/>
    <w:rsid w:val="00D77B97"/>
    <w:rsid w:val="00DA318E"/>
    <w:rsid w:val="00DC750E"/>
    <w:rsid w:val="00DD5568"/>
    <w:rsid w:val="00DF108F"/>
    <w:rsid w:val="00DF74B7"/>
    <w:rsid w:val="00E229F1"/>
    <w:rsid w:val="00E93BC5"/>
    <w:rsid w:val="00E95307"/>
    <w:rsid w:val="00EF4C22"/>
    <w:rsid w:val="00F15A8A"/>
    <w:rsid w:val="00F32B95"/>
    <w:rsid w:val="00F36D62"/>
    <w:rsid w:val="00F378CA"/>
    <w:rsid w:val="00F56192"/>
    <w:rsid w:val="00FA7A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73A1F-6135-4D7B-9B88-C5370F29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F1"/>
    <w:pPr>
      <w:spacing w:after="0" w:line="240" w:lineRule="auto"/>
      <w:jc w:val="both"/>
    </w:pPr>
    <w:rPr>
      <w:rFonts w:ascii="Times New Roman" w:hAnsi="Times New Roman" w:cs="Times New Roman"/>
      <w:sz w:val="24"/>
      <w:szCs w:val="24"/>
      <w:lang w:val="es-ES_tradnl"/>
    </w:rPr>
  </w:style>
  <w:style w:type="paragraph" w:styleId="Ttulo1">
    <w:name w:val="heading 1"/>
    <w:basedOn w:val="Normal"/>
    <w:next w:val="Normal"/>
    <w:link w:val="Ttulo1Car"/>
    <w:uiPriority w:val="9"/>
    <w:qFormat/>
    <w:rsid w:val="00E229F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9F1"/>
    <w:rPr>
      <w:rFonts w:asciiTheme="majorHAnsi" w:eastAsiaTheme="majorEastAsia" w:hAnsiTheme="majorHAnsi" w:cstheme="majorBidi"/>
      <w:b/>
      <w:bCs/>
      <w:color w:val="2C6EAB" w:themeColor="accent1" w:themeShade="B5"/>
      <w:sz w:val="32"/>
      <w:szCs w:val="32"/>
      <w:lang w:val="es-ES_tradnl"/>
    </w:rPr>
  </w:style>
  <w:style w:type="paragraph" w:styleId="Textonotapie">
    <w:name w:val="footnote text"/>
    <w:basedOn w:val="Normal"/>
    <w:link w:val="TextonotapieCar"/>
    <w:uiPriority w:val="99"/>
    <w:unhideWhenUsed/>
    <w:rsid w:val="00E229F1"/>
    <w:rPr>
      <w:sz w:val="20"/>
      <w:szCs w:val="20"/>
    </w:rPr>
  </w:style>
  <w:style w:type="character" w:customStyle="1" w:styleId="TextonotapieCar">
    <w:name w:val="Texto nota pie Car"/>
    <w:basedOn w:val="Fuentedeprrafopredeter"/>
    <w:link w:val="Textonotapie"/>
    <w:uiPriority w:val="99"/>
    <w:rsid w:val="00E229F1"/>
    <w:rPr>
      <w:rFonts w:ascii="Times New Roman" w:hAnsi="Times New Roman" w:cs="Times New Roman"/>
      <w:sz w:val="20"/>
      <w:szCs w:val="20"/>
      <w:lang w:val="es-ES_tradnl"/>
    </w:rPr>
  </w:style>
  <w:style w:type="character" w:styleId="Refdenotaalpie">
    <w:name w:val="footnote reference"/>
    <w:basedOn w:val="Fuentedeprrafopredeter"/>
    <w:uiPriority w:val="99"/>
    <w:unhideWhenUsed/>
    <w:rsid w:val="00E229F1"/>
    <w:rPr>
      <w:vertAlign w:val="superscript"/>
    </w:rPr>
  </w:style>
  <w:style w:type="paragraph" w:styleId="Prrafodelista">
    <w:name w:val="List Paragraph"/>
    <w:basedOn w:val="Normal"/>
    <w:uiPriority w:val="34"/>
    <w:qFormat/>
    <w:rsid w:val="00E229F1"/>
    <w:pPr>
      <w:ind w:left="720"/>
      <w:contextualSpacing/>
    </w:pPr>
  </w:style>
  <w:style w:type="paragraph" w:styleId="Encabezado">
    <w:name w:val="header"/>
    <w:basedOn w:val="Normal"/>
    <w:link w:val="EncabezadoCar"/>
    <w:uiPriority w:val="99"/>
    <w:unhideWhenUsed/>
    <w:rsid w:val="00E229F1"/>
    <w:pPr>
      <w:tabs>
        <w:tab w:val="center" w:pos="4419"/>
        <w:tab w:val="right" w:pos="8838"/>
      </w:tabs>
    </w:pPr>
  </w:style>
  <w:style w:type="character" w:customStyle="1" w:styleId="EncabezadoCar">
    <w:name w:val="Encabezado Car"/>
    <w:basedOn w:val="Fuentedeprrafopredeter"/>
    <w:link w:val="Encabezado"/>
    <w:uiPriority w:val="99"/>
    <w:rsid w:val="00E229F1"/>
    <w:rPr>
      <w:rFonts w:ascii="Times New Roman" w:hAnsi="Times New Roman" w:cs="Times New Roman"/>
      <w:sz w:val="24"/>
      <w:szCs w:val="24"/>
      <w:lang w:val="es-ES_tradnl"/>
    </w:rPr>
  </w:style>
  <w:style w:type="paragraph" w:styleId="Piedepgina">
    <w:name w:val="footer"/>
    <w:basedOn w:val="Normal"/>
    <w:link w:val="PiedepginaCar"/>
    <w:uiPriority w:val="99"/>
    <w:unhideWhenUsed/>
    <w:rsid w:val="00E229F1"/>
    <w:pPr>
      <w:tabs>
        <w:tab w:val="center" w:pos="4419"/>
        <w:tab w:val="right" w:pos="8838"/>
      </w:tabs>
    </w:pPr>
  </w:style>
  <w:style w:type="character" w:customStyle="1" w:styleId="PiedepginaCar">
    <w:name w:val="Pie de página Car"/>
    <w:basedOn w:val="Fuentedeprrafopredeter"/>
    <w:link w:val="Piedepgina"/>
    <w:uiPriority w:val="99"/>
    <w:rsid w:val="00E229F1"/>
    <w:rPr>
      <w:rFonts w:ascii="Times New Roman" w:hAnsi="Times New Roman" w:cs="Times New Roman"/>
      <w:sz w:val="24"/>
      <w:szCs w:val="24"/>
      <w:lang w:val="es-ES_tradnl"/>
    </w:rPr>
  </w:style>
  <w:style w:type="paragraph" w:styleId="Listaconvietas">
    <w:name w:val="List Bullet"/>
    <w:basedOn w:val="Normal"/>
    <w:uiPriority w:val="99"/>
    <w:unhideWhenUsed/>
    <w:rsid w:val="00E229F1"/>
    <w:pPr>
      <w:numPr>
        <w:numId w:val="4"/>
      </w:numPr>
      <w:contextualSpacing/>
    </w:pPr>
  </w:style>
  <w:style w:type="character" w:styleId="Hipervnculo">
    <w:name w:val="Hyperlink"/>
    <w:basedOn w:val="Fuentedeprrafopredeter"/>
    <w:uiPriority w:val="99"/>
    <w:unhideWhenUsed/>
    <w:rsid w:val="00E229F1"/>
    <w:rPr>
      <w:color w:val="0563C1" w:themeColor="hyperlink"/>
      <w:u w:val="single"/>
    </w:rPr>
  </w:style>
  <w:style w:type="paragraph" w:styleId="Textodeglobo">
    <w:name w:val="Balloon Text"/>
    <w:basedOn w:val="Normal"/>
    <w:link w:val="TextodegloboCar"/>
    <w:uiPriority w:val="99"/>
    <w:semiHidden/>
    <w:unhideWhenUsed/>
    <w:rsid w:val="00E229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9F1"/>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F7E4-D4D3-407B-BA95-0700D7BC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8442</Words>
  <Characters>46434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Cortés Z.</dc:creator>
  <cp:keywords/>
  <dc:description/>
  <cp:lastModifiedBy>José Luis Cortés Z.</cp:lastModifiedBy>
  <cp:revision>3</cp:revision>
  <cp:lastPrinted>2019-05-30T16:44:00Z</cp:lastPrinted>
  <dcterms:created xsi:type="dcterms:W3CDTF">2019-05-30T22:27:00Z</dcterms:created>
  <dcterms:modified xsi:type="dcterms:W3CDTF">2019-05-30T22:29:00Z</dcterms:modified>
</cp:coreProperties>
</file>